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653A2B67" w:rsidR="00433158" w:rsidRPr="00432C89" w:rsidRDefault="00F97D3C"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Pr>
          <w:rFonts w:ascii="Arial" w:hAnsi="Arial" w:cs="Arial"/>
          <w:b/>
          <w:bCs/>
          <w:sz w:val="28"/>
        </w:rPr>
        <w:t>1</w:t>
      </w:r>
      <w:r w:rsidR="00D446CA">
        <w:rPr>
          <w:rFonts w:ascii="Arial" w:hAnsi="Arial" w:cs="Arial" w:hint="eastAsia"/>
          <w:b/>
          <w:bCs/>
          <w:sz w:val="28"/>
        </w:rPr>
        <w:t>6</w:t>
      </w:r>
      <w:r>
        <w:rPr>
          <w:rFonts w:ascii="Arial" w:hAnsi="Arial" w:cs="Arial"/>
          <w:b/>
          <w:bCs/>
          <w:sz w:val="28"/>
        </w:rPr>
        <w:t xml:space="preserve">    </w:t>
      </w:r>
      <w:r w:rsidR="00433158" w:rsidRPr="00121552">
        <w:rPr>
          <w:rFonts w:ascii="Arial" w:hAnsi="Arial" w:cs="Arial"/>
          <w:b/>
          <w:bCs/>
          <w:sz w:val="28"/>
        </w:rPr>
        <w:t xml:space="preserve"> </w:t>
      </w:r>
      <w:r w:rsidR="00433158">
        <w:rPr>
          <w:rFonts w:ascii="Arial" w:hAnsi="Arial" w:cs="Arial"/>
          <w:b/>
          <w:bCs/>
          <w:sz w:val="28"/>
        </w:rPr>
        <w:t xml:space="preserve">                  </w:t>
      </w:r>
      <w:r w:rsidR="00E0092C">
        <w:rPr>
          <w:rFonts w:ascii="Arial" w:hAnsi="Arial" w:cs="Arial"/>
          <w:b/>
          <w:bCs/>
          <w:sz w:val="28"/>
        </w:rPr>
        <w:t xml:space="preserve"> </w:t>
      </w:r>
      <w:r w:rsidR="00354717">
        <w:rPr>
          <w:rFonts w:ascii="Arial" w:hAnsi="Arial" w:cs="Arial"/>
          <w:b/>
          <w:bCs/>
          <w:sz w:val="28"/>
        </w:rPr>
        <w:t xml:space="preserve">     </w:t>
      </w:r>
      <w:r w:rsidR="00E0092C">
        <w:rPr>
          <w:rFonts w:ascii="Arial" w:hAnsi="Arial" w:cs="Arial"/>
          <w:b/>
          <w:bCs/>
          <w:sz w:val="28"/>
        </w:rPr>
        <w:t xml:space="preserve"> </w:t>
      </w:r>
      <w:r w:rsidR="00FF1806">
        <w:rPr>
          <w:rFonts w:ascii="Arial" w:hAnsi="Arial" w:cs="Arial"/>
          <w:b/>
          <w:bCs/>
          <w:sz w:val="28"/>
        </w:rPr>
        <w:t>R1-2</w:t>
      </w:r>
      <w:r w:rsidR="00FF1806">
        <w:rPr>
          <w:rFonts w:ascii="Arial" w:hAnsi="Arial" w:cs="Arial" w:hint="eastAsia"/>
          <w:b/>
          <w:bCs/>
          <w:sz w:val="28"/>
        </w:rPr>
        <w:t>4</w:t>
      </w:r>
      <w:bookmarkStart w:id="0" w:name="_GoBack"/>
      <w:bookmarkEnd w:id="0"/>
      <w:r w:rsidR="00B7730F">
        <w:rPr>
          <w:rFonts w:ascii="Arial" w:hAnsi="Arial" w:cs="Arial"/>
          <w:b/>
          <w:bCs/>
          <w:sz w:val="28"/>
        </w:rPr>
        <w:t>0</w:t>
      </w:r>
      <w:r w:rsidR="00BB72D8">
        <w:rPr>
          <w:rFonts w:ascii="Arial" w:hAnsi="Arial" w:cs="Arial" w:hint="eastAsia"/>
          <w:b/>
          <w:bCs/>
          <w:sz w:val="28"/>
        </w:rPr>
        <w:t>0055</w:t>
      </w:r>
    </w:p>
    <w:p w14:paraId="1EC15792" w14:textId="7E20382F" w:rsidR="006D134C" w:rsidRPr="009513AC" w:rsidRDefault="00A704B0" w:rsidP="006D134C">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hAnsi="Arial" w:cs="Arial"/>
          <w:b/>
          <w:bCs/>
          <w:sz w:val="28"/>
        </w:rPr>
        <w:t>Athens</w:t>
      </w:r>
      <w:r w:rsidR="00497C27">
        <w:rPr>
          <w:rFonts w:ascii="Arial" w:hAnsi="Arial" w:cs="Arial"/>
          <w:b/>
          <w:bCs/>
          <w:sz w:val="28"/>
        </w:rPr>
        <w:t xml:space="preserve">, </w:t>
      </w:r>
      <w:r>
        <w:rPr>
          <w:rFonts w:ascii="Arial" w:hAnsi="Arial" w:cs="Arial"/>
          <w:b/>
          <w:bCs/>
          <w:sz w:val="28"/>
        </w:rPr>
        <w:t>GR</w:t>
      </w:r>
      <w:r w:rsidR="0013574A">
        <w:rPr>
          <w:rFonts w:ascii="Arial" w:eastAsia="MS Mincho" w:hAnsi="Arial" w:cs="Arial"/>
          <w:b/>
          <w:bCs/>
          <w:sz w:val="28"/>
          <w:lang w:eastAsia="ja-JP"/>
        </w:rPr>
        <w:t>, February</w:t>
      </w:r>
      <w:r w:rsidR="00497C27">
        <w:rPr>
          <w:rFonts w:ascii="Arial" w:eastAsia="MS Mincho" w:hAnsi="Arial" w:cs="Arial"/>
          <w:b/>
          <w:bCs/>
          <w:sz w:val="28"/>
          <w:lang w:eastAsia="ja-JP"/>
        </w:rPr>
        <w:t xml:space="preserve"> 2</w:t>
      </w:r>
      <w:r w:rsidR="0013574A">
        <w:rPr>
          <w:rFonts w:ascii="Arial" w:eastAsia="MS Mincho" w:hAnsi="Arial" w:cs="Arial"/>
          <w:b/>
          <w:bCs/>
          <w:sz w:val="28"/>
          <w:lang w:eastAsia="ja-JP"/>
        </w:rPr>
        <w:t>6</w:t>
      </w:r>
      <w:r w:rsidR="0013574A">
        <w:rPr>
          <w:rFonts w:ascii="Arial" w:eastAsia="MS Mincho" w:hAnsi="Arial" w:cs="Arial"/>
          <w:b/>
          <w:bCs/>
          <w:sz w:val="28"/>
          <w:vertAlign w:val="superscript"/>
          <w:lang w:eastAsia="ja-JP"/>
        </w:rPr>
        <w:t>th</w:t>
      </w:r>
      <w:r w:rsidR="00497C27">
        <w:rPr>
          <w:rFonts w:ascii="Arial" w:eastAsia="MS Mincho" w:hAnsi="Arial" w:cs="Arial"/>
          <w:b/>
          <w:bCs/>
          <w:sz w:val="28"/>
          <w:lang w:eastAsia="ja-JP"/>
        </w:rPr>
        <w:t xml:space="preserve"> – </w:t>
      </w:r>
      <w:r w:rsidR="0013574A">
        <w:rPr>
          <w:rFonts w:ascii="Arial" w:eastAsia="MS Mincho" w:hAnsi="Arial" w:cs="Arial"/>
          <w:b/>
          <w:bCs/>
          <w:sz w:val="28"/>
          <w:lang w:eastAsia="ja-JP"/>
        </w:rPr>
        <w:t>March 1</w:t>
      </w:r>
      <w:r w:rsidR="0013574A">
        <w:rPr>
          <w:rFonts w:ascii="Arial" w:eastAsia="MS Mincho" w:hAnsi="Arial" w:cs="Arial"/>
          <w:b/>
          <w:bCs/>
          <w:sz w:val="28"/>
          <w:vertAlign w:val="superscript"/>
          <w:lang w:eastAsia="ja-JP"/>
        </w:rPr>
        <w:t>st</w:t>
      </w:r>
      <w:r w:rsidR="006D134C">
        <w:rPr>
          <w:rFonts w:ascii="Arial" w:eastAsia="MS Mincho" w:hAnsi="Arial" w:cs="Arial"/>
          <w:b/>
          <w:bCs/>
          <w:sz w:val="28"/>
          <w:lang w:eastAsia="ja-JP"/>
        </w:rPr>
        <w:t>, 202</w:t>
      </w:r>
      <w:r w:rsidR="00D5596D" w:rsidRPr="00D5596D">
        <w:rPr>
          <w:rFonts w:ascii="Arial" w:eastAsia="MS Mincho" w:hAnsi="Arial" w:cs="Arial"/>
          <w:b/>
          <w:bCs/>
          <w:sz w:val="28"/>
          <w:lang w:eastAsia="ja-JP"/>
        </w:rPr>
        <w:t>4</w:t>
      </w:r>
    </w:p>
    <w:bookmarkEnd w:id="1"/>
    <w:bookmarkEnd w:id="2"/>
    <w:p w14:paraId="7A4241A6" w14:textId="77777777" w:rsidR="00433158" w:rsidRPr="006D134C" w:rsidRDefault="00433158" w:rsidP="00433158">
      <w:pPr>
        <w:pBdr>
          <w:top w:val="single" w:sz="4" w:space="0" w:color="auto"/>
        </w:pBdr>
        <w:rPr>
          <w:b/>
          <w:bCs/>
          <w:sz w:val="16"/>
          <w:szCs w:val="16"/>
          <w:highlight w:val="yellow"/>
        </w:rPr>
      </w:pPr>
    </w:p>
    <w:p w14:paraId="2515305C" w14:textId="64C61D9D" w:rsidR="00B71AB1" w:rsidRDefault="00B71AB1" w:rsidP="00433158">
      <w:pPr>
        <w:spacing w:after="60"/>
        <w:ind w:left="1555" w:hanging="1555"/>
        <w:rPr>
          <w:rFonts w:ascii="Times New Roman" w:hAnsi="Times New Roman" w:cs="Times New Roman"/>
          <w:b/>
          <w:sz w:val="22"/>
        </w:rPr>
      </w:pPr>
      <w:r>
        <w:rPr>
          <w:rFonts w:ascii="Times New Roman" w:hAnsi="Times New Roman" w:cs="Times New Roman"/>
          <w:b/>
          <w:sz w:val="22"/>
        </w:rPr>
        <w:t>Agenda Item:</w:t>
      </w:r>
      <w:r>
        <w:rPr>
          <w:rFonts w:ascii="Times New Roman" w:hAnsi="Times New Roman" w:cs="Times New Roman"/>
          <w:b/>
          <w:sz w:val="22"/>
        </w:rPr>
        <w:tab/>
        <w:t>9.3.3</w:t>
      </w:r>
    </w:p>
    <w:p w14:paraId="7C0B2E14" w14:textId="7709458A"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Source:</w:t>
      </w:r>
      <w:r w:rsidRPr="00B71AB1">
        <w:rPr>
          <w:rFonts w:ascii="Times New Roman" w:hAnsi="Times New Roman" w:cs="Times New Roman"/>
          <w:b/>
          <w:sz w:val="22"/>
        </w:rPr>
        <w:tab/>
        <w:t>Spreadtrum Communications</w:t>
      </w:r>
    </w:p>
    <w:p w14:paraId="53F3B864" w14:textId="5F2E37E1"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Title:</w:t>
      </w:r>
      <w:r w:rsidRPr="00B71AB1">
        <w:rPr>
          <w:rFonts w:ascii="Times New Roman" w:hAnsi="Times New Roman" w:cs="Times New Roman"/>
          <w:b/>
          <w:sz w:val="22"/>
        </w:rPr>
        <w:tab/>
      </w:r>
      <w:r w:rsidR="00262802" w:rsidRPr="00B71AB1">
        <w:rPr>
          <w:rFonts w:ascii="Times New Roman" w:hAnsi="Times New Roman" w:cs="Times New Roman"/>
          <w:b/>
          <w:sz w:val="22"/>
        </w:rPr>
        <w:t xml:space="preserve">Discussion on </w:t>
      </w:r>
      <w:r w:rsidR="00A704B0" w:rsidRPr="00B71AB1">
        <w:rPr>
          <w:rFonts w:ascii="Times New Roman" w:hAnsi="Times New Roman" w:cs="Times New Roman" w:hint="eastAsia"/>
          <w:b/>
          <w:sz w:val="22"/>
        </w:rPr>
        <w:t>CLI</w:t>
      </w:r>
      <w:r w:rsidR="00A704B0" w:rsidRPr="00B71AB1">
        <w:rPr>
          <w:rFonts w:ascii="Times New Roman" w:hAnsi="Times New Roman" w:cs="Times New Roman"/>
          <w:b/>
          <w:sz w:val="22"/>
        </w:rPr>
        <w:t xml:space="preserve"> handling</w:t>
      </w:r>
    </w:p>
    <w:p w14:paraId="47F5A95F" w14:textId="77777777"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Document for:</w:t>
      </w:r>
      <w:r w:rsidRPr="00B71AB1">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818C878" w:rsidR="00433158" w:rsidRDefault="006D134C" w:rsidP="00433158">
      <w:pPr>
        <w:pStyle w:val="1"/>
        <w:rPr>
          <w:lang w:eastAsia="zh-CN"/>
        </w:rPr>
      </w:pPr>
      <w:r>
        <w:rPr>
          <w:lang w:eastAsia="zh-CN"/>
        </w:rPr>
        <w:t>Introductio</w:t>
      </w:r>
      <w:r w:rsidR="00FB04D4">
        <w:rPr>
          <w:lang w:eastAsia="zh-CN"/>
        </w:rPr>
        <w:t>n</w:t>
      </w:r>
    </w:p>
    <w:p w14:paraId="1BB96D5C" w14:textId="7F8E2C45" w:rsidR="00634CBF" w:rsidRDefault="00B316D2" w:rsidP="00FD77DB">
      <w:pPr>
        <w:spacing w:afterLines="50" w:after="156"/>
        <w:rPr>
          <w:rFonts w:ascii="Times New Roman" w:hAnsi="Times New Roman" w:cs="Times New Roman"/>
          <w:sz w:val="22"/>
        </w:rPr>
      </w:pPr>
      <w:r>
        <w:rPr>
          <w:rFonts w:ascii="Times New Roman" w:hAnsi="Times New Roman" w:cs="Times New Roman"/>
          <w:sz w:val="22"/>
        </w:rPr>
        <w:t xml:space="preserve">In the study in Rel-18 SI, deployment scenarios and evaluation methodology were identified for SBFD and dynamic/flexible TDD, respectively. </w:t>
      </w:r>
      <w:r w:rsidR="00194083">
        <w:rPr>
          <w:rFonts w:ascii="Times New Roman" w:hAnsi="Times New Roman" w:cs="Times New Roman"/>
          <w:sz w:val="22"/>
        </w:rPr>
        <w:t>T</w:t>
      </w:r>
      <w:r>
        <w:rPr>
          <w:rFonts w:ascii="Times New Roman" w:hAnsi="Times New Roman" w:cs="Times New Roman"/>
          <w:sz w:val="22"/>
        </w:rPr>
        <w:t xml:space="preserve">he feasibility and performance of SBFD </w:t>
      </w:r>
      <w:r w:rsidR="006E316D">
        <w:rPr>
          <w:rFonts w:ascii="Times New Roman" w:hAnsi="Times New Roman" w:cs="Times New Roman"/>
          <w:sz w:val="22"/>
        </w:rPr>
        <w:t xml:space="preserve">operation </w:t>
      </w:r>
      <w:r>
        <w:rPr>
          <w:rFonts w:ascii="Times New Roman" w:hAnsi="Times New Roman" w:cs="Times New Roman"/>
          <w:sz w:val="22"/>
        </w:rPr>
        <w:t xml:space="preserve">were fully evaluated. </w:t>
      </w:r>
      <w:r w:rsidR="00194083">
        <w:rPr>
          <w:rFonts w:ascii="Times New Roman" w:hAnsi="Times New Roman" w:cs="Times New Roman"/>
          <w:sz w:val="22"/>
        </w:rPr>
        <w:t>Therefore a</w:t>
      </w:r>
      <w:r w:rsidR="00F36652">
        <w:rPr>
          <w:rFonts w:ascii="Times New Roman" w:hAnsi="Times New Roman" w:cs="Times New Roman"/>
          <w:sz w:val="22"/>
        </w:rPr>
        <w:t>ccording to the conclusion in the TR 38.858</w:t>
      </w:r>
      <w:r w:rsidR="00D86D03" w:rsidRPr="00FB7CC2">
        <w:rPr>
          <w:rFonts w:ascii="Times New Roman" w:hAnsi="Times New Roman" w:cs="Times New Roman"/>
          <w:sz w:val="22"/>
          <w:vertAlign w:val="superscript"/>
        </w:rPr>
        <w:t>[1]</w:t>
      </w:r>
      <w:r w:rsidR="00F36652">
        <w:rPr>
          <w:rFonts w:ascii="Times New Roman" w:hAnsi="Times New Roman" w:cs="Times New Roman"/>
          <w:sz w:val="22"/>
        </w:rPr>
        <w:t xml:space="preserve">, SBFD operation is worthy to </w:t>
      </w:r>
      <w:r w:rsidR="006E316D">
        <w:rPr>
          <w:rFonts w:ascii="Times New Roman" w:hAnsi="Times New Roman" w:cs="Times New Roman"/>
          <w:sz w:val="22"/>
        </w:rPr>
        <w:t>specify</w:t>
      </w:r>
      <w:r w:rsidR="00F36652">
        <w:rPr>
          <w:rFonts w:ascii="Times New Roman" w:hAnsi="Times New Roman" w:cs="Times New Roman"/>
          <w:sz w:val="22"/>
        </w:rPr>
        <w:t>. But for t</w:t>
      </w:r>
      <w:r>
        <w:rPr>
          <w:rFonts w:ascii="Times New Roman" w:hAnsi="Times New Roman" w:cs="Times New Roman"/>
          <w:sz w:val="22"/>
        </w:rPr>
        <w:t>he CLI handl</w:t>
      </w:r>
      <w:r w:rsidR="00F36652">
        <w:rPr>
          <w:rFonts w:ascii="Times New Roman" w:hAnsi="Times New Roman" w:cs="Times New Roman"/>
          <w:sz w:val="22"/>
        </w:rPr>
        <w:t>ing schemes</w:t>
      </w:r>
      <w:r w:rsidR="00F36C75">
        <w:rPr>
          <w:rFonts w:ascii="Times New Roman" w:hAnsi="Times New Roman" w:cs="Times New Roman"/>
          <w:sz w:val="22"/>
        </w:rPr>
        <w:t xml:space="preserve"> which</w:t>
      </w:r>
      <w:r w:rsidR="00F36652">
        <w:rPr>
          <w:rFonts w:ascii="Times New Roman" w:hAnsi="Times New Roman" w:cs="Times New Roman"/>
          <w:sz w:val="22"/>
        </w:rPr>
        <w:t xml:space="preserve"> were</w:t>
      </w:r>
      <w:r w:rsidR="00EC5B03">
        <w:rPr>
          <w:rFonts w:ascii="Times New Roman" w:hAnsi="Times New Roman" w:cs="Times New Roman"/>
          <w:sz w:val="22"/>
        </w:rPr>
        <w:t xml:space="preserve"> also discussed during Rel-18, no conclusion was drawn because of lack of enough evaluation results. </w:t>
      </w:r>
      <w:r w:rsidR="00194083">
        <w:rPr>
          <w:rFonts w:ascii="Times New Roman" w:hAnsi="Times New Roman" w:cs="Times New Roman"/>
          <w:sz w:val="22"/>
        </w:rPr>
        <w:t>Hence</w:t>
      </w:r>
      <w:r w:rsidR="00F36652">
        <w:rPr>
          <w:rFonts w:ascii="Times New Roman" w:hAnsi="Times New Roman" w:cs="Times New Roman"/>
          <w:sz w:val="22"/>
        </w:rPr>
        <w:t xml:space="preserve"> i</w:t>
      </w:r>
      <w:r w:rsidR="009B056C">
        <w:rPr>
          <w:rFonts w:ascii="Times New Roman" w:hAnsi="Times New Roman" w:cs="Times New Roman"/>
          <w:sz w:val="22"/>
        </w:rPr>
        <w:t>n the Rel-19 WID</w:t>
      </w:r>
      <w:r w:rsidR="00A31208" w:rsidRPr="00FB7CC2">
        <w:rPr>
          <w:rFonts w:ascii="Times New Roman" w:hAnsi="Times New Roman" w:cs="Times New Roman"/>
          <w:sz w:val="22"/>
          <w:vertAlign w:val="superscript"/>
        </w:rPr>
        <w:t>[</w:t>
      </w:r>
      <w:r w:rsidR="00D86D03" w:rsidRPr="00FB7CC2">
        <w:rPr>
          <w:rFonts w:ascii="Times New Roman" w:hAnsi="Times New Roman" w:cs="Times New Roman"/>
          <w:sz w:val="22"/>
          <w:vertAlign w:val="superscript"/>
        </w:rPr>
        <w:t>2</w:t>
      </w:r>
      <w:r w:rsidR="00A31208" w:rsidRPr="00FB7CC2">
        <w:rPr>
          <w:rFonts w:ascii="Times New Roman" w:hAnsi="Times New Roman" w:cs="Times New Roman"/>
          <w:sz w:val="22"/>
          <w:vertAlign w:val="superscript"/>
        </w:rPr>
        <w:t>]</w:t>
      </w:r>
      <w:r w:rsidR="009B056C">
        <w:rPr>
          <w:rFonts w:ascii="Times New Roman" w:hAnsi="Times New Roman" w:cs="Times New Roman"/>
          <w:sz w:val="22"/>
        </w:rPr>
        <w:t>, the enhancements for CLI handl</w:t>
      </w:r>
      <w:r w:rsidR="00F36652">
        <w:rPr>
          <w:rFonts w:ascii="Times New Roman" w:hAnsi="Times New Roman" w:cs="Times New Roman"/>
          <w:sz w:val="22"/>
        </w:rPr>
        <w:t xml:space="preserve">ing are </w:t>
      </w:r>
      <w:r w:rsidR="009B056C">
        <w:rPr>
          <w:rFonts w:ascii="Times New Roman" w:hAnsi="Times New Roman" w:cs="Times New Roman"/>
          <w:sz w:val="22"/>
        </w:rPr>
        <w:t>driven by SBFD operation without dedicated optimization for dynamic/flexible TDD.</w:t>
      </w:r>
      <w:r w:rsidR="00A31208">
        <w:rPr>
          <w:rFonts w:ascii="Times New Roman" w:hAnsi="Times New Roman" w:cs="Times New Roman"/>
          <w:sz w:val="22"/>
        </w:rPr>
        <w:t xml:space="preserve"> </w:t>
      </w:r>
      <w:r w:rsidR="00282AC5">
        <w:rPr>
          <w:rFonts w:ascii="Times New Roman" w:hAnsi="Times New Roman" w:cs="Times New Roman"/>
          <w:sz w:val="22"/>
        </w:rPr>
        <w:t>And t</w:t>
      </w:r>
      <w:r w:rsidR="00523931">
        <w:rPr>
          <w:rFonts w:ascii="Times New Roman" w:hAnsi="Times New Roman" w:cs="Times New Roman"/>
          <w:sz w:val="22"/>
        </w:rPr>
        <w:t>he detail schemes should be down-selected from those in the SBFD part of TR 38.858.</w:t>
      </w:r>
    </w:p>
    <w:p w14:paraId="6DF91A5E" w14:textId="77777777" w:rsidR="00AC6506" w:rsidRDefault="00AC6506" w:rsidP="00AC6506">
      <w:pPr>
        <w:spacing w:beforeLines="50" w:before="156" w:afterLines="50" w:after="156"/>
        <w:rPr>
          <w:rFonts w:ascii="Times New Roman" w:hAnsi="Times New Roman"/>
          <w:b/>
          <w:i/>
          <w:sz w:val="22"/>
        </w:rPr>
      </w:pPr>
      <w:r w:rsidRPr="00C52744">
        <w:rPr>
          <w:rFonts w:ascii="Times New Roman" w:hAnsi="Times New Roman"/>
          <w:b/>
          <w:i/>
          <w:sz w:val="22"/>
        </w:rPr>
        <w:t xml:space="preserve">Proposal 1: </w:t>
      </w:r>
      <w:r>
        <w:rPr>
          <w:rFonts w:ascii="Times New Roman" w:hAnsi="Times New Roman"/>
          <w:b/>
          <w:i/>
          <w:sz w:val="22"/>
        </w:rPr>
        <w:t>E</w:t>
      </w:r>
      <w:r w:rsidRPr="00C52744">
        <w:rPr>
          <w:rFonts w:ascii="Times New Roman" w:hAnsi="Times New Roman"/>
          <w:b/>
          <w:i/>
          <w:sz w:val="22"/>
        </w:rPr>
        <w:t>nhancements for CLI handling should be focused on CLI</w:t>
      </w:r>
      <w:r>
        <w:rPr>
          <w:rFonts w:ascii="Times New Roman" w:hAnsi="Times New Roman"/>
          <w:b/>
          <w:i/>
          <w:sz w:val="22"/>
        </w:rPr>
        <w:t xml:space="preserve"> handling schemes for SBFD operation.</w:t>
      </w:r>
    </w:p>
    <w:p w14:paraId="4B5E4F2E" w14:textId="368BCE1D" w:rsidR="00AC6506" w:rsidRDefault="00854252" w:rsidP="00FD77DB">
      <w:pPr>
        <w:spacing w:afterLines="50" w:after="156"/>
        <w:rPr>
          <w:rFonts w:ascii="Times New Roman" w:hAnsi="Times New Roman" w:cs="Times New Roman"/>
          <w:sz w:val="22"/>
        </w:rPr>
      </w:pPr>
      <w:r>
        <w:rPr>
          <w:rFonts w:ascii="Times New Roman" w:hAnsi="Times New Roman" w:cs="Times New Roman"/>
          <w:sz w:val="22"/>
        </w:rPr>
        <w:t xml:space="preserve">The key question is how to </w:t>
      </w:r>
      <w:r w:rsidR="00BA622C">
        <w:rPr>
          <w:rFonts w:ascii="Times New Roman" w:hAnsi="Times New Roman" w:cs="Times New Roman"/>
          <w:sz w:val="22"/>
        </w:rPr>
        <w:t>distinguish</w:t>
      </w:r>
      <w:r>
        <w:rPr>
          <w:rFonts w:ascii="Times New Roman" w:hAnsi="Times New Roman" w:cs="Times New Roman"/>
          <w:sz w:val="22"/>
        </w:rPr>
        <w:t xml:space="preserve"> whether a CLI handling scheme is for SBFD</w:t>
      </w:r>
      <w:r>
        <w:rPr>
          <w:rFonts w:ascii="Times New Roman" w:hAnsi="Times New Roman" w:cs="Times New Roman" w:hint="eastAsia"/>
          <w:sz w:val="22"/>
        </w:rPr>
        <w:t xml:space="preserve"> </w:t>
      </w:r>
      <w:r>
        <w:rPr>
          <w:rFonts w:ascii="Times New Roman" w:hAnsi="Times New Roman" w:cs="Times New Roman"/>
          <w:sz w:val="22"/>
        </w:rPr>
        <w:t>operation or not in TR38.858.</w:t>
      </w:r>
      <w:r w:rsidR="00BA622C">
        <w:rPr>
          <w:rFonts w:ascii="Times New Roman" w:hAnsi="Times New Roman" w:cs="Times New Roman"/>
          <w:sz w:val="22"/>
        </w:rPr>
        <w:t xml:space="preserve"> The most direct way is to see whether simulation result is provided for SBFD cases</w:t>
      </w:r>
      <w:r w:rsidR="005B3703">
        <w:rPr>
          <w:rFonts w:ascii="Times New Roman" w:hAnsi="Times New Roman" w:cs="Times New Roman"/>
          <w:sz w:val="22"/>
        </w:rPr>
        <w:t xml:space="preserve"> in TR38.858</w:t>
      </w:r>
      <w:r w:rsidR="00BA622C">
        <w:rPr>
          <w:rFonts w:ascii="Times New Roman" w:hAnsi="Times New Roman" w:cs="Times New Roman"/>
          <w:sz w:val="22"/>
        </w:rPr>
        <w:t>.</w:t>
      </w:r>
      <w:r w:rsidR="004A6E1F">
        <w:rPr>
          <w:rFonts w:ascii="Times New Roman" w:hAnsi="Times New Roman" w:cs="Times New Roman"/>
          <w:sz w:val="22"/>
        </w:rPr>
        <w:t xml:space="preserve"> </w:t>
      </w:r>
      <w:r w:rsidR="00F76AA2">
        <w:rPr>
          <w:rFonts w:ascii="Times New Roman" w:hAnsi="Times New Roman" w:cs="Times New Roman"/>
          <w:sz w:val="22"/>
        </w:rPr>
        <w:t>Since i</w:t>
      </w:r>
      <w:r w:rsidR="00AC6506">
        <w:rPr>
          <w:rFonts w:ascii="Times New Roman" w:hAnsi="Times New Roman" w:cs="Times New Roman"/>
          <w:sz w:val="22"/>
        </w:rPr>
        <w:t>ntra-subband CLI and inter-subband CLI are existed in dynamic/flexible TDD, and intra-subband CLI is much more severe than inter-subband CLI which can be omit in dynamic/flexible TDD.</w:t>
      </w:r>
      <w:r w:rsidR="00F36C75">
        <w:rPr>
          <w:rFonts w:ascii="Times New Roman" w:hAnsi="Times New Roman" w:cs="Times New Roman"/>
          <w:sz w:val="22"/>
        </w:rPr>
        <w:t xml:space="preserve"> </w:t>
      </w:r>
      <w:r w:rsidR="00517FBF">
        <w:rPr>
          <w:rFonts w:ascii="Times New Roman" w:hAnsi="Times New Roman" w:cs="Times New Roman"/>
          <w:sz w:val="22"/>
        </w:rPr>
        <w:t>S</w:t>
      </w:r>
      <w:r w:rsidR="00AC6506">
        <w:rPr>
          <w:rFonts w:ascii="Times New Roman" w:hAnsi="Times New Roman" w:cs="Times New Roman"/>
          <w:sz w:val="22"/>
        </w:rPr>
        <w:t xml:space="preserve">chemes show benefits in dynamic/flexible TDD cases are effective for intra-subband CLI. But it is hard to say it </w:t>
      </w:r>
      <w:r w:rsidR="00F36C75">
        <w:rPr>
          <w:rFonts w:ascii="Times New Roman" w:hAnsi="Times New Roman" w:cs="Times New Roman"/>
          <w:sz w:val="22"/>
        </w:rPr>
        <w:t>will be</w:t>
      </w:r>
      <w:r w:rsidR="00AC6506">
        <w:rPr>
          <w:rFonts w:ascii="Times New Roman" w:hAnsi="Times New Roman" w:cs="Times New Roman"/>
          <w:sz w:val="22"/>
        </w:rPr>
        <w:t xml:space="preserve"> effective for inter-subband CLI which is the </w:t>
      </w:r>
      <w:r w:rsidR="00D86367">
        <w:rPr>
          <w:rFonts w:ascii="Times New Roman" w:hAnsi="Times New Roman" w:cs="Times New Roman"/>
          <w:sz w:val="22"/>
        </w:rPr>
        <w:t>new introduced</w:t>
      </w:r>
      <w:r w:rsidR="00AC6506">
        <w:rPr>
          <w:rFonts w:ascii="Times New Roman" w:hAnsi="Times New Roman" w:cs="Times New Roman"/>
          <w:sz w:val="22"/>
        </w:rPr>
        <w:t xml:space="preserve"> CLI in SBFD </w:t>
      </w:r>
      <w:r w:rsidR="00D86367">
        <w:rPr>
          <w:rFonts w:ascii="Times New Roman" w:hAnsi="Times New Roman" w:cs="Times New Roman"/>
          <w:sz w:val="22"/>
        </w:rPr>
        <w:t>operation</w:t>
      </w:r>
      <w:r w:rsidR="00AC6506">
        <w:rPr>
          <w:rFonts w:ascii="Times New Roman" w:hAnsi="Times New Roman" w:cs="Times New Roman"/>
          <w:sz w:val="22"/>
        </w:rPr>
        <w:t>.</w:t>
      </w:r>
      <w:r w:rsidR="00EA4FFB">
        <w:rPr>
          <w:rFonts w:ascii="Times New Roman" w:hAnsi="Times New Roman" w:cs="Times New Roman"/>
          <w:sz w:val="22"/>
        </w:rPr>
        <w:t xml:space="preserve"> And also inter-subband CLI is the only CLI in SBFD case 1 </w:t>
      </w:r>
      <w:r w:rsidR="004621EF">
        <w:rPr>
          <w:rFonts w:ascii="Times New Roman" w:hAnsi="Times New Roman" w:cs="Times New Roman"/>
          <w:sz w:val="22"/>
        </w:rPr>
        <w:t>that</w:t>
      </w:r>
      <w:r w:rsidR="00EA4FFB">
        <w:rPr>
          <w:rFonts w:ascii="Times New Roman" w:hAnsi="Times New Roman" w:cs="Times New Roman"/>
          <w:sz w:val="22"/>
        </w:rPr>
        <w:t xml:space="preserve"> is the most important case in SBFD operation.</w:t>
      </w:r>
      <w:r w:rsidR="00517FBF">
        <w:rPr>
          <w:rFonts w:ascii="Times New Roman" w:hAnsi="Times New Roman" w:cs="Times New Roman"/>
          <w:sz w:val="22"/>
        </w:rPr>
        <w:t xml:space="preserve"> In other words, CLI handling schemes should be focus on inter-subband CLI handling.</w:t>
      </w:r>
      <w:r w:rsidR="00066763">
        <w:rPr>
          <w:rFonts w:ascii="Times New Roman" w:hAnsi="Times New Roman" w:cs="Times New Roman"/>
          <w:sz w:val="22"/>
        </w:rPr>
        <w:t xml:space="preserve"> </w:t>
      </w:r>
      <w:r w:rsidR="00D86367">
        <w:rPr>
          <w:rFonts w:ascii="Times New Roman" w:hAnsi="Times New Roman" w:cs="Times New Roman"/>
          <w:sz w:val="22"/>
        </w:rPr>
        <w:t>And there are s</w:t>
      </w:r>
      <w:r w:rsidR="00821EEE">
        <w:rPr>
          <w:rFonts w:ascii="Times New Roman" w:hAnsi="Times New Roman" w:cs="Times New Roman"/>
          <w:sz w:val="22"/>
        </w:rPr>
        <w:t xml:space="preserve">ome other inter-subband CLI measurement/reporting methods </w:t>
      </w:r>
      <w:r w:rsidR="00D86367">
        <w:rPr>
          <w:rFonts w:ascii="Times New Roman" w:hAnsi="Times New Roman" w:cs="Times New Roman"/>
          <w:sz w:val="22"/>
        </w:rPr>
        <w:t xml:space="preserve">which </w:t>
      </w:r>
      <w:r w:rsidR="00821EEE">
        <w:rPr>
          <w:rFonts w:ascii="Times New Roman" w:hAnsi="Times New Roman" w:cs="Times New Roman"/>
          <w:sz w:val="22"/>
        </w:rPr>
        <w:t>were discussed especially for SBFD operation in 9.3.2 in Rel-18 and those schemes are definitely in the scope.</w:t>
      </w:r>
    </w:p>
    <w:p w14:paraId="13FF6377" w14:textId="6B4547D5" w:rsidR="005464AB" w:rsidRDefault="005464AB" w:rsidP="00FD77DB">
      <w:pPr>
        <w:spacing w:afterLines="50" w:after="156"/>
        <w:rPr>
          <w:rFonts w:ascii="Times New Roman" w:hAnsi="Times New Roman" w:cs="Times New Roman"/>
          <w:sz w:val="22"/>
        </w:rPr>
      </w:pPr>
      <w:r>
        <w:rPr>
          <w:rFonts w:ascii="Times New Roman" w:hAnsi="Times New Roman" w:cs="Times New Roman"/>
          <w:sz w:val="22"/>
        </w:rPr>
        <w:t>Schemes in TR38.858 provided simulation results for dynamic/flexible TDD in Rel-18 may updated those results in SBFD scenarios, but a deadline should be set for example RAN1#116</w:t>
      </w:r>
      <w:r w:rsidR="004359A8">
        <w:rPr>
          <w:rFonts w:ascii="Times New Roman" w:hAnsi="Times New Roman" w:cs="Times New Roman"/>
          <w:sz w:val="22"/>
        </w:rPr>
        <w:t>-bi</w:t>
      </w:r>
      <w:r>
        <w:rPr>
          <w:rFonts w:ascii="Times New Roman" w:hAnsi="Times New Roman" w:cs="Times New Roman"/>
          <w:sz w:val="22"/>
        </w:rPr>
        <w:t>s.</w:t>
      </w:r>
    </w:p>
    <w:p w14:paraId="2AD5140C" w14:textId="4B87AC3C" w:rsidR="004A6E1F" w:rsidRDefault="004A6E1F" w:rsidP="00C52744">
      <w:pPr>
        <w:spacing w:beforeLines="50" w:before="156" w:afterLines="50" w:after="156"/>
        <w:rPr>
          <w:rFonts w:ascii="Times New Roman" w:hAnsi="Times New Roman"/>
          <w:b/>
          <w:i/>
          <w:sz w:val="22"/>
        </w:rPr>
      </w:pPr>
      <w:r w:rsidRPr="00C52744">
        <w:rPr>
          <w:rFonts w:ascii="Times New Roman" w:hAnsi="Times New Roman"/>
          <w:b/>
          <w:i/>
          <w:sz w:val="22"/>
        </w:rPr>
        <w:t xml:space="preserve">Proposal </w:t>
      </w:r>
      <w:r>
        <w:rPr>
          <w:rFonts w:ascii="Times New Roman" w:hAnsi="Times New Roman"/>
          <w:b/>
          <w:i/>
          <w:sz w:val="22"/>
        </w:rPr>
        <w:t>2</w:t>
      </w:r>
      <w:r w:rsidRPr="00C52744">
        <w:rPr>
          <w:rFonts w:ascii="Times New Roman" w:hAnsi="Times New Roman"/>
          <w:b/>
          <w:i/>
          <w:sz w:val="22"/>
        </w:rPr>
        <w:t xml:space="preserve">: </w:t>
      </w:r>
      <w:r>
        <w:rPr>
          <w:rFonts w:ascii="Times New Roman" w:hAnsi="Times New Roman"/>
          <w:b/>
          <w:i/>
          <w:sz w:val="22"/>
        </w:rPr>
        <w:t>Down select from CLI handling schemes that provided simulation results</w:t>
      </w:r>
      <w:r w:rsidR="00E42740">
        <w:rPr>
          <w:rFonts w:ascii="Times New Roman" w:hAnsi="Times New Roman"/>
          <w:b/>
          <w:i/>
          <w:sz w:val="22"/>
        </w:rPr>
        <w:t xml:space="preserve"> or discussed</w:t>
      </w:r>
      <w:r>
        <w:rPr>
          <w:rFonts w:ascii="Times New Roman" w:hAnsi="Times New Roman"/>
          <w:b/>
          <w:i/>
          <w:sz w:val="22"/>
        </w:rPr>
        <w:t xml:space="preserve"> for SBFD cases.</w:t>
      </w:r>
    </w:p>
    <w:p w14:paraId="2EE75F67" w14:textId="76A83765" w:rsidR="005464AB" w:rsidRPr="005464AB" w:rsidRDefault="005464AB" w:rsidP="00C52744">
      <w:pPr>
        <w:spacing w:beforeLines="50" w:before="156" w:afterLines="50" w:after="156"/>
        <w:rPr>
          <w:rFonts w:ascii="Times New Roman" w:hAnsi="Times New Roman"/>
          <w:b/>
          <w:i/>
          <w:sz w:val="22"/>
        </w:rPr>
      </w:pPr>
      <w:r w:rsidRPr="00C52744">
        <w:rPr>
          <w:rFonts w:ascii="Times New Roman" w:hAnsi="Times New Roman"/>
          <w:b/>
          <w:i/>
          <w:sz w:val="22"/>
        </w:rPr>
        <w:t xml:space="preserve">Proposal </w:t>
      </w:r>
      <w:r>
        <w:rPr>
          <w:rFonts w:ascii="Times New Roman" w:hAnsi="Times New Roman"/>
          <w:b/>
          <w:i/>
          <w:sz w:val="22"/>
        </w:rPr>
        <w:t>3</w:t>
      </w:r>
      <w:r w:rsidRPr="00C52744">
        <w:rPr>
          <w:rFonts w:ascii="Times New Roman" w:hAnsi="Times New Roman"/>
          <w:b/>
          <w:i/>
          <w:sz w:val="22"/>
        </w:rPr>
        <w:t xml:space="preserve">: </w:t>
      </w:r>
      <w:r w:rsidR="004621EF">
        <w:rPr>
          <w:rFonts w:ascii="Times New Roman" w:hAnsi="Times New Roman"/>
          <w:b/>
          <w:i/>
          <w:sz w:val="22"/>
        </w:rPr>
        <w:t>Updated</w:t>
      </w:r>
      <w:r>
        <w:rPr>
          <w:rFonts w:ascii="Times New Roman" w:hAnsi="Times New Roman"/>
          <w:b/>
          <w:i/>
          <w:sz w:val="22"/>
        </w:rPr>
        <w:t xml:space="preserve"> simulation results of CLI schemes </w:t>
      </w:r>
      <w:r w:rsidR="001517E8">
        <w:rPr>
          <w:rFonts w:ascii="Times New Roman" w:hAnsi="Times New Roman"/>
          <w:b/>
          <w:i/>
          <w:sz w:val="22"/>
        </w:rPr>
        <w:t xml:space="preserve">in TR38.858 </w:t>
      </w:r>
      <w:r>
        <w:rPr>
          <w:rFonts w:ascii="Times New Roman" w:hAnsi="Times New Roman"/>
          <w:b/>
          <w:i/>
          <w:sz w:val="22"/>
        </w:rPr>
        <w:t xml:space="preserve">for SBFD cases should be </w:t>
      </w:r>
      <w:r w:rsidR="004621EF">
        <w:rPr>
          <w:rFonts w:ascii="Times New Roman" w:hAnsi="Times New Roman"/>
          <w:b/>
          <w:i/>
          <w:sz w:val="22"/>
        </w:rPr>
        <w:t xml:space="preserve">provided </w:t>
      </w:r>
      <w:r>
        <w:rPr>
          <w:rFonts w:ascii="Times New Roman" w:hAnsi="Times New Roman"/>
          <w:b/>
          <w:i/>
          <w:sz w:val="22"/>
        </w:rPr>
        <w:t>by RAN1#116</w:t>
      </w:r>
      <w:r w:rsidR="004359A8">
        <w:rPr>
          <w:rFonts w:ascii="Times New Roman" w:hAnsi="Times New Roman"/>
          <w:b/>
          <w:i/>
          <w:sz w:val="22"/>
        </w:rPr>
        <w:t>-</w:t>
      </w:r>
      <w:r>
        <w:rPr>
          <w:rFonts w:ascii="Times New Roman" w:hAnsi="Times New Roman"/>
          <w:b/>
          <w:i/>
          <w:sz w:val="22"/>
        </w:rPr>
        <w:t>bis.</w:t>
      </w:r>
    </w:p>
    <w:tbl>
      <w:tblPr>
        <w:tblStyle w:val="aa"/>
        <w:tblW w:w="0" w:type="auto"/>
        <w:tblLook w:val="04A0" w:firstRow="1" w:lastRow="0" w:firstColumn="1" w:lastColumn="0" w:noHBand="0" w:noVBand="1"/>
      </w:tblPr>
      <w:tblGrid>
        <w:gridCol w:w="9322"/>
      </w:tblGrid>
      <w:tr w:rsidR="00A31208" w14:paraId="335485DA" w14:textId="77777777" w:rsidTr="00A31208">
        <w:tc>
          <w:tcPr>
            <w:tcW w:w="9322" w:type="dxa"/>
          </w:tcPr>
          <w:p w14:paraId="700F3419" w14:textId="77777777" w:rsidR="00A31208" w:rsidRPr="00A31208" w:rsidRDefault="00A31208" w:rsidP="00A31208">
            <w:pPr>
              <w:widowControl/>
              <w:numPr>
                <w:ilvl w:val="0"/>
                <w:numId w:val="42"/>
              </w:numPr>
              <w:spacing w:after="160" w:line="256" w:lineRule="auto"/>
              <w:ind w:right="-99"/>
              <w:jc w:val="left"/>
              <w:rPr>
                <w:rFonts w:ascii="Times New Roman" w:eastAsia="Malgun Gothic" w:hAnsi="Times New Roman" w:cs="Times New Roman"/>
                <w:lang w:eastAsia="ko-KR"/>
              </w:rPr>
            </w:pPr>
            <w:r w:rsidRPr="00A31208">
              <w:rPr>
                <w:rFonts w:ascii="Times New Roman" w:eastAsia="Malgun Gothic" w:hAnsi="Times New Roman" w:cs="Times New Roman"/>
                <w:lang w:eastAsia="ko-KR"/>
              </w:rPr>
              <w:t>Specify enhancements for CLI handling [RAN1, RAN2, RAN3]:</w:t>
            </w:r>
          </w:p>
          <w:p w14:paraId="124E901B" w14:textId="77777777" w:rsidR="00A31208" w:rsidRPr="00A31208" w:rsidRDefault="00A31208" w:rsidP="00A31208">
            <w:pPr>
              <w:widowControl/>
              <w:numPr>
                <w:ilvl w:val="1"/>
                <w:numId w:val="42"/>
              </w:numPr>
              <w:spacing w:after="160" w:line="256" w:lineRule="auto"/>
              <w:ind w:right="-99"/>
              <w:jc w:val="left"/>
              <w:rPr>
                <w:rFonts w:ascii="Times New Roman" w:eastAsia="Malgun Gothic" w:hAnsi="Times New Roman" w:cs="Times New Roman"/>
                <w:lang w:eastAsia="ko-KR"/>
              </w:rPr>
            </w:pPr>
            <w:r w:rsidRPr="00A31208">
              <w:rPr>
                <w:rFonts w:ascii="Times New Roman" w:eastAsia="Malgun Gothic" w:hAnsi="Times New Roman" w:cs="Times New Roman"/>
                <w:lang w:eastAsia="ko-KR"/>
              </w:rPr>
              <w:lastRenderedPageBreak/>
              <w:t>Support gNB-to-gNB co-channel CLI handling scheme(s) (the detailed schemes are to be down-selected from those in TR38.858 by RAN1#117)</w:t>
            </w:r>
          </w:p>
          <w:p w14:paraId="6AFB1A5F" w14:textId="77777777" w:rsidR="00A31208" w:rsidRPr="00A31208" w:rsidRDefault="00A31208" w:rsidP="00A31208">
            <w:pPr>
              <w:widowControl/>
              <w:numPr>
                <w:ilvl w:val="1"/>
                <w:numId w:val="42"/>
              </w:numPr>
              <w:spacing w:after="160" w:line="256" w:lineRule="auto"/>
              <w:ind w:right="-99"/>
              <w:jc w:val="left"/>
              <w:rPr>
                <w:rFonts w:ascii="Times New Roman" w:eastAsia="Malgun Gothic" w:hAnsi="Times New Roman" w:cs="Times New Roman"/>
                <w:lang w:eastAsia="ko-KR"/>
              </w:rPr>
            </w:pPr>
            <w:r w:rsidRPr="00A31208">
              <w:rPr>
                <w:rFonts w:ascii="Times New Roman" w:eastAsia="Malgun Gothic" w:hAnsi="Times New Roman" w:cs="Times New Roman"/>
                <w:lang w:eastAsia="ko-KR"/>
              </w:rPr>
              <w:t xml:space="preserve">Support UE-to-UE co-channel CLI handling scheme(s) (the detailed schemes are to be down-selected from those in TR38.858 by RAN1#117) </w:t>
            </w:r>
          </w:p>
          <w:p w14:paraId="672937F4" w14:textId="4160A400" w:rsidR="00A31208" w:rsidRPr="00A31208" w:rsidRDefault="00A31208" w:rsidP="00A31208">
            <w:pPr>
              <w:widowControl/>
              <w:numPr>
                <w:ilvl w:val="1"/>
                <w:numId w:val="42"/>
              </w:numPr>
              <w:spacing w:after="160" w:line="256" w:lineRule="auto"/>
              <w:ind w:right="-99"/>
              <w:jc w:val="left"/>
              <w:rPr>
                <w:rFonts w:eastAsia="Malgun Gothic"/>
                <w:lang w:eastAsia="ko-KR"/>
              </w:rPr>
            </w:pPr>
            <w:r w:rsidRPr="00A31208">
              <w:rPr>
                <w:rFonts w:ascii="Times New Roman" w:eastAsia="Malgun Gothic" w:hAnsi="Times New Roman" w:cs="Times New Roman"/>
                <w:lang w:eastAsia="ko-KR"/>
              </w:rPr>
              <w:t xml:space="preserve">Note: Without dedicated optimization for dynamic/flexible TDD. </w:t>
            </w:r>
          </w:p>
        </w:tc>
      </w:tr>
    </w:tbl>
    <w:p w14:paraId="1FB9D609" w14:textId="77777777" w:rsidR="00194083" w:rsidRPr="00D244BB" w:rsidRDefault="00194083" w:rsidP="00FD77DB">
      <w:pPr>
        <w:spacing w:afterLines="50" w:after="156"/>
        <w:rPr>
          <w:rFonts w:ascii="Times New Roman" w:hAnsi="Times New Roman" w:cs="Times New Roman"/>
          <w:sz w:val="22"/>
        </w:rPr>
      </w:pPr>
    </w:p>
    <w:p w14:paraId="2824596F" w14:textId="764891D0" w:rsidR="003C14E2" w:rsidRDefault="00D86D03" w:rsidP="003C14E2">
      <w:pPr>
        <w:pStyle w:val="1"/>
        <w:rPr>
          <w:lang w:eastAsia="zh-CN"/>
        </w:rPr>
      </w:pPr>
      <w:r>
        <w:rPr>
          <w:lang w:eastAsia="zh-CN"/>
        </w:rPr>
        <w:t>gNB-to</w:t>
      </w:r>
      <w:r w:rsidR="00B264FE">
        <w:rPr>
          <w:rFonts w:hint="eastAsia"/>
          <w:lang w:eastAsia="zh-CN"/>
        </w:rPr>
        <w:t>-gNB</w:t>
      </w:r>
      <w:r w:rsidR="00B264FE">
        <w:rPr>
          <w:lang w:eastAsia="zh-CN"/>
        </w:rPr>
        <w:t xml:space="preserve"> </w:t>
      </w:r>
      <w:r w:rsidR="001035E7">
        <w:rPr>
          <w:lang w:eastAsia="zh-CN"/>
        </w:rPr>
        <w:t>CLI handling</w:t>
      </w:r>
      <w:r>
        <w:rPr>
          <w:lang w:eastAsia="zh-CN"/>
        </w:rPr>
        <w:t xml:space="preserve"> scheme</w:t>
      </w:r>
    </w:p>
    <w:p w14:paraId="34C6066A" w14:textId="032F00C5" w:rsidR="00C97622" w:rsidRDefault="00C76C2B" w:rsidP="00C76C2B">
      <w:pPr>
        <w:rPr>
          <w:rFonts w:ascii="Times New Roman" w:hAnsi="Times New Roman" w:cs="Times New Roman"/>
          <w:sz w:val="22"/>
        </w:rPr>
      </w:pPr>
      <w:r w:rsidRPr="00785940">
        <w:rPr>
          <w:rFonts w:ascii="Times New Roman" w:hAnsi="Times New Roman" w:cs="Times New Roman"/>
          <w:sz w:val="22"/>
        </w:rPr>
        <w:t xml:space="preserve">In </w:t>
      </w:r>
      <w:r w:rsidR="00EE121B">
        <w:rPr>
          <w:rFonts w:ascii="Times New Roman" w:hAnsi="Times New Roman" w:cs="Times New Roman"/>
          <w:sz w:val="22"/>
        </w:rPr>
        <w:t>TR38.858</w:t>
      </w:r>
      <w:r w:rsidRPr="00785940">
        <w:rPr>
          <w:rFonts w:ascii="Times New Roman" w:hAnsi="Times New Roman" w:cs="Times New Roman"/>
          <w:sz w:val="22"/>
        </w:rPr>
        <w:t>,</w:t>
      </w:r>
      <w:r w:rsidR="00C513CE" w:rsidRPr="00785940">
        <w:rPr>
          <w:rFonts w:ascii="Times New Roman" w:hAnsi="Times New Roman" w:cs="Times New Roman"/>
          <w:sz w:val="22"/>
        </w:rPr>
        <w:t xml:space="preserve"> t</w:t>
      </w:r>
      <w:r w:rsidR="00EE121B">
        <w:rPr>
          <w:rFonts w:ascii="Times New Roman" w:hAnsi="Times New Roman" w:cs="Times New Roman"/>
          <w:sz w:val="22"/>
        </w:rPr>
        <w:t xml:space="preserve">wo gNB-to-gNB CLI handling schemes for SBFD </w:t>
      </w:r>
      <w:r w:rsidR="008F6C7E">
        <w:rPr>
          <w:rFonts w:ascii="Times New Roman" w:hAnsi="Times New Roman" w:cs="Times New Roman"/>
          <w:sz w:val="22"/>
        </w:rPr>
        <w:t xml:space="preserve">operation </w:t>
      </w:r>
      <w:r w:rsidR="00EE121B">
        <w:rPr>
          <w:rFonts w:ascii="Times New Roman" w:hAnsi="Times New Roman" w:cs="Times New Roman"/>
          <w:sz w:val="22"/>
        </w:rPr>
        <w:t>were evaluated</w:t>
      </w:r>
      <w:r w:rsidR="00C97622">
        <w:rPr>
          <w:rFonts w:ascii="Times New Roman" w:hAnsi="Times New Roman" w:cs="Times New Roman"/>
          <w:sz w:val="22"/>
        </w:rPr>
        <w:t xml:space="preserve"> and the information of those two schemes</w:t>
      </w:r>
      <w:r w:rsidR="00EE121B">
        <w:rPr>
          <w:rFonts w:ascii="Times New Roman" w:hAnsi="Times New Roman" w:cs="Times New Roman"/>
          <w:sz w:val="22"/>
        </w:rPr>
        <w:t xml:space="preserve"> are shown in</w:t>
      </w:r>
      <w:r w:rsidR="00E601F0">
        <w:rPr>
          <w:rFonts w:ascii="Times New Roman" w:hAnsi="Times New Roman" w:cs="Times New Roman"/>
          <w:sz w:val="22"/>
        </w:rPr>
        <w:t xml:space="preserve"> </w:t>
      </w:r>
      <w:r w:rsidR="00E601F0" w:rsidRPr="00E601F0">
        <w:rPr>
          <w:rFonts w:ascii="Times New Roman" w:hAnsi="Times New Roman" w:cs="Times New Roman"/>
          <w:sz w:val="22"/>
        </w:rPr>
        <w:fldChar w:fldCharType="begin"/>
      </w:r>
      <w:r w:rsidR="00E601F0" w:rsidRPr="00E601F0">
        <w:rPr>
          <w:rFonts w:ascii="Times New Roman" w:hAnsi="Times New Roman" w:cs="Times New Roman"/>
          <w:sz w:val="22"/>
        </w:rPr>
        <w:instrText xml:space="preserve"> REF _Ref157504597 \h  \* MERGEFORMAT </w:instrText>
      </w:r>
      <w:r w:rsidR="00E601F0" w:rsidRPr="00E601F0">
        <w:rPr>
          <w:rFonts w:ascii="Times New Roman" w:hAnsi="Times New Roman" w:cs="Times New Roman"/>
          <w:sz w:val="22"/>
        </w:rPr>
      </w:r>
      <w:r w:rsidR="00E601F0" w:rsidRPr="00E601F0">
        <w:rPr>
          <w:rFonts w:ascii="Times New Roman" w:hAnsi="Times New Roman" w:cs="Times New Roman"/>
          <w:sz w:val="22"/>
        </w:rPr>
        <w:fldChar w:fldCharType="separate"/>
      </w:r>
      <w:r w:rsidR="00E601F0" w:rsidRPr="00E601F0">
        <w:rPr>
          <w:rFonts w:ascii="Times New Roman" w:hAnsi="Times New Roman" w:cs="Times New Roman"/>
          <w:sz w:val="22"/>
        </w:rPr>
        <w:t>Table 1</w:t>
      </w:r>
      <w:r w:rsidR="00E601F0" w:rsidRPr="00E601F0">
        <w:rPr>
          <w:rFonts w:ascii="Times New Roman" w:hAnsi="Times New Roman" w:cs="Times New Roman"/>
          <w:sz w:val="22"/>
        </w:rPr>
        <w:fldChar w:fldCharType="end"/>
      </w:r>
      <w:r w:rsidR="00B50DBF" w:rsidRPr="00785940">
        <w:rPr>
          <w:rFonts w:ascii="Times New Roman" w:hAnsi="Times New Roman" w:cs="Times New Roman"/>
          <w:sz w:val="22"/>
        </w:rPr>
        <w:t>.</w:t>
      </w:r>
    </w:p>
    <w:p w14:paraId="677B1283" w14:textId="3AAA1756" w:rsidR="006A34FB" w:rsidRPr="00E601F0" w:rsidRDefault="00E601F0" w:rsidP="00E601F0">
      <w:pPr>
        <w:pStyle w:val="af5"/>
        <w:jc w:val="center"/>
        <w:rPr>
          <w:rFonts w:ascii="Times New Roman" w:hAnsi="Times New Roman" w:cs="Times New Roman"/>
          <w:b/>
        </w:rPr>
      </w:pPr>
      <w:bookmarkStart w:id="3" w:name="_Ref157504597"/>
      <w:r w:rsidRPr="00E601F0">
        <w:rPr>
          <w:rFonts w:ascii="Times New Roman" w:hAnsi="Times New Roman" w:cs="Times New Roman"/>
          <w:b/>
        </w:rPr>
        <w:t xml:space="preserve">Table </w:t>
      </w:r>
      <w:r w:rsidRPr="00E601F0">
        <w:rPr>
          <w:rFonts w:ascii="Times New Roman" w:hAnsi="Times New Roman" w:cs="Times New Roman"/>
          <w:b/>
        </w:rPr>
        <w:fldChar w:fldCharType="begin"/>
      </w:r>
      <w:r w:rsidRPr="00E601F0">
        <w:rPr>
          <w:rFonts w:ascii="Times New Roman" w:hAnsi="Times New Roman" w:cs="Times New Roman"/>
          <w:b/>
        </w:rPr>
        <w:instrText xml:space="preserve"> SEQ Table \* ARABIC </w:instrText>
      </w:r>
      <w:r w:rsidRPr="00E601F0">
        <w:rPr>
          <w:rFonts w:ascii="Times New Roman" w:hAnsi="Times New Roman" w:cs="Times New Roman"/>
          <w:b/>
        </w:rPr>
        <w:fldChar w:fldCharType="separate"/>
      </w:r>
      <w:r w:rsidRPr="00E601F0">
        <w:rPr>
          <w:rFonts w:ascii="Times New Roman" w:hAnsi="Times New Roman" w:cs="Times New Roman"/>
          <w:b/>
        </w:rPr>
        <w:t>1</w:t>
      </w:r>
      <w:r w:rsidRPr="00E601F0">
        <w:rPr>
          <w:rFonts w:ascii="Times New Roman" w:hAnsi="Times New Roman" w:cs="Times New Roman"/>
          <w:b/>
        </w:rPr>
        <w:fldChar w:fldCharType="end"/>
      </w:r>
      <w:bookmarkEnd w:id="3"/>
      <w:r w:rsidRPr="00E601F0">
        <w:rPr>
          <w:rFonts w:ascii="Times New Roman" w:hAnsi="Times New Roman" w:cs="Times New Roman"/>
          <w:b/>
        </w:rPr>
        <w:t xml:space="preserve">: </w:t>
      </w:r>
      <w:r>
        <w:rPr>
          <w:rFonts w:ascii="Times New Roman" w:hAnsi="Times New Roman" w:cs="Times New Roman"/>
          <w:b/>
        </w:rPr>
        <w:t xml:space="preserve">gNB-to-gNB CLI handling schemes </w:t>
      </w:r>
      <w:r w:rsidRPr="00E601F0">
        <w:rPr>
          <w:rFonts w:ascii="Times New Roman" w:hAnsi="Times New Roman" w:cs="Times New Roman"/>
          <w:b/>
        </w:rPr>
        <w:t>for SBFD</w:t>
      </w:r>
      <w:r>
        <w:rPr>
          <w:rFonts w:ascii="Times New Roman" w:hAnsi="Times New Roman" w:cs="Times New Roman"/>
          <w:b/>
        </w:rPr>
        <w:t xml:space="preserve"> operation</w:t>
      </w:r>
    </w:p>
    <w:tbl>
      <w:tblPr>
        <w:tblStyle w:val="aa"/>
        <w:tblW w:w="0" w:type="auto"/>
        <w:tblLook w:val="04A0" w:firstRow="1" w:lastRow="0" w:firstColumn="1" w:lastColumn="0" w:noHBand="0" w:noVBand="1"/>
      </w:tblPr>
      <w:tblGrid>
        <w:gridCol w:w="1838"/>
        <w:gridCol w:w="3686"/>
        <w:gridCol w:w="3798"/>
      </w:tblGrid>
      <w:tr w:rsidR="006A34FB" w14:paraId="2BFACDAF" w14:textId="77777777" w:rsidTr="006A34FB">
        <w:tc>
          <w:tcPr>
            <w:tcW w:w="1838" w:type="dxa"/>
          </w:tcPr>
          <w:p w14:paraId="4C444421" w14:textId="35B6C35C" w:rsidR="006A34FB" w:rsidRDefault="006A34FB" w:rsidP="00C76C2B">
            <w:pPr>
              <w:rPr>
                <w:rFonts w:ascii="Times New Roman" w:hAnsi="Times New Roman" w:cs="Times New Roman"/>
                <w:sz w:val="22"/>
              </w:rPr>
            </w:pPr>
            <w:r>
              <w:rPr>
                <w:rFonts w:ascii="Times New Roman" w:hAnsi="Times New Roman" w:cs="Times New Roman"/>
                <w:sz w:val="22"/>
              </w:rPr>
              <w:t>Schemes</w:t>
            </w:r>
          </w:p>
        </w:tc>
        <w:tc>
          <w:tcPr>
            <w:tcW w:w="3686" w:type="dxa"/>
          </w:tcPr>
          <w:p w14:paraId="71F69375" w14:textId="6CE4A4AF" w:rsidR="006A34FB" w:rsidRDefault="008F6C7E" w:rsidP="00C76C2B">
            <w:pPr>
              <w:rPr>
                <w:rFonts w:ascii="Times New Roman" w:hAnsi="Times New Roman" w:cs="Times New Roman"/>
                <w:sz w:val="22"/>
              </w:rPr>
            </w:pPr>
            <w:r w:rsidRPr="008F6C7E">
              <w:rPr>
                <w:rFonts w:ascii="Times New Roman" w:hAnsi="Times New Roman" w:cs="Times New Roman"/>
                <w:sz w:val="22"/>
              </w:rPr>
              <w:t>Spatial Domain Coordination Scheme for gNB Tx-Beam Nulling</w:t>
            </w:r>
          </w:p>
        </w:tc>
        <w:tc>
          <w:tcPr>
            <w:tcW w:w="3798" w:type="dxa"/>
          </w:tcPr>
          <w:p w14:paraId="1B83D7CE" w14:textId="005F5E63" w:rsidR="006A34FB" w:rsidRDefault="008F6C7E" w:rsidP="00C76C2B">
            <w:pPr>
              <w:rPr>
                <w:rFonts w:ascii="Times New Roman" w:hAnsi="Times New Roman" w:cs="Times New Roman"/>
                <w:sz w:val="22"/>
              </w:rPr>
            </w:pPr>
            <w:r w:rsidRPr="008F6C7E">
              <w:rPr>
                <w:rFonts w:ascii="Times New Roman" w:hAnsi="Times New Roman" w:cs="Times New Roman"/>
                <w:sz w:val="22"/>
              </w:rPr>
              <w:t>UL Resource Muting-based scheme for measuring the gNB-to-gNB CLI interference covariance matrix</w:t>
            </w:r>
          </w:p>
        </w:tc>
      </w:tr>
      <w:tr w:rsidR="006A34FB" w14:paraId="65226C6A" w14:textId="77777777" w:rsidTr="006A34FB">
        <w:tc>
          <w:tcPr>
            <w:tcW w:w="1838" w:type="dxa"/>
          </w:tcPr>
          <w:p w14:paraId="4FB16FDD" w14:textId="1D4DFDA5" w:rsidR="006A34FB" w:rsidRDefault="001E71ED" w:rsidP="001E71ED">
            <w:pPr>
              <w:rPr>
                <w:rFonts w:ascii="Times New Roman" w:hAnsi="Times New Roman" w:cs="Times New Roman"/>
                <w:sz w:val="22"/>
              </w:rPr>
            </w:pPr>
            <w:r>
              <w:rPr>
                <w:rFonts w:ascii="Times New Roman" w:hAnsi="Times New Roman" w:cs="Times New Roman"/>
                <w:sz w:val="22"/>
              </w:rPr>
              <w:t xml:space="preserve">Number of </w:t>
            </w:r>
            <w:r w:rsidR="006A34FB">
              <w:rPr>
                <w:rFonts w:ascii="Times New Roman" w:hAnsi="Times New Roman" w:cs="Times New Roman" w:hint="eastAsia"/>
                <w:sz w:val="22"/>
              </w:rPr>
              <w:t>S</w:t>
            </w:r>
            <w:r w:rsidR="006A34FB">
              <w:rPr>
                <w:rFonts w:ascii="Times New Roman" w:hAnsi="Times New Roman" w:cs="Times New Roman"/>
                <w:sz w:val="22"/>
              </w:rPr>
              <w:t xml:space="preserve">ource </w:t>
            </w:r>
          </w:p>
        </w:tc>
        <w:tc>
          <w:tcPr>
            <w:tcW w:w="3686" w:type="dxa"/>
          </w:tcPr>
          <w:p w14:paraId="651D6173" w14:textId="1A8EBA51" w:rsidR="006A34FB" w:rsidRDefault="008F6C7E" w:rsidP="008F6C7E">
            <w:pPr>
              <w:jc w:val="center"/>
              <w:rPr>
                <w:rFonts w:ascii="Times New Roman" w:hAnsi="Times New Roman" w:cs="Times New Roman"/>
                <w:sz w:val="22"/>
              </w:rPr>
            </w:pPr>
            <w:r>
              <w:rPr>
                <w:rFonts w:ascii="Times New Roman" w:hAnsi="Times New Roman" w:cs="Times New Roman" w:hint="eastAsia"/>
                <w:sz w:val="22"/>
              </w:rPr>
              <w:t>2</w:t>
            </w:r>
          </w:p>
        </w:tc>
        <w:tc>
          <w:tcPr>
            <w:tcW w:w="3798" w:type="dxa"/>
          </w:tcPr>
          <w:p w14:paraId="333075C2" w14:textId="708E76B0" w:rsidR="006A34FB" w:rsidRDefault="008F6C7E" w:rsidP="008F6C7E">
            <w:pPr>
              <w:jc w:val="center"/>
              <w:rPr>
                <w:rFonts w:ascii="Times New Roman" w:hAnsi="Times New Roman" w:cs="Times New Roman"/>
                <w:sz w:val="22"/>
              </w:rPr>
            </w:pPr>
            <w:r>
              <w:rPr>
                <w:rFonts w:ascii="Times New Roman" w:hAnsi="Times New Roman" w:cs="Times New Roman" w:hint="eastAsia"/>
                <w:sz w:val="22"/>
              </w:rPr>
              <w:t>1</w:t>
            </w:r>
          </w:p>
        </w:tc>
      </w:tr>
      <w:tr w:rsidR="006A34FB" w14:paraId="2683EC45" w14:textId="77777777" w:rsidTr="006A34FB">
        <w:tc>
          <w:tcPr>
            <w:tcW w:w="1838" w:type="dxa"/>
          </w:tcPr>
          <w:p w14:paraId="74A60FA6" w14:textId="3CF36A8E" w:rsidR="006A34FB" w:rsidRDefault="006A34FB" w:rsidP="00C76C2B">
            <w:pPr>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mpact</w:t>
            </w:r>
          </w:p>
        </w:tc>
        <w:tc>
          <w:tcPr>
            <w:tcW w:w="3686" w:type="dxa"/>
          </w:tcPr>
          <w:p w14:paraId="1CE135B2" w14:textId="77777777" w:rsidR="006A34FB" w:rsidRDefault="008F6C7E" w:rsidP="008F6C7E">
            <w:pPr>
              <w:pStyle w:val="a3"/>
              <w:numPr>
                <w:ilvl w:val="0"/>
                <w:numId w:val="44"/>
              </w:numPr>
              <w:ind w:firstLineChars="0"/>
              <w:rPr>
                <w:rFonts w:ascii="Times New Roman" w:hAnsi="Times New Roman" w:cs="Times New Roman"/>
                <w:sz w:val="22"/>
              </w:rPr>
            </w:pPr>
            <w:r>
              <w:rPr>
                <w:rFonts w:ascii="Times New Roman" w:hAnsi="Times New Roman" w:cs="Times New Roman"/>
                <w:sz w:val="22"/>
              </w:rPr>
              <w:t>D</w:t>
            </w:r>
            <w:r w:rsidRPr="008F6C7E">
              <w:rPr>
                <w:rFonts w:ascii="Times New Roman" w:hAnsi="Times New Roman" w:cs="Times New Roman"/>
                <w:sz w:val="22"/>
              </w:rPr>
              <w:t>efine reference signals</w:t>
            </w:r>
          </w:p>
          <w:p w14:paraId="21B337C9" w14:textId="46A9ECD7" w:rsidR="008F6C7E" w:rsidRPr="008F6C7E" w:rsidRDefault="008F6C7E" w:rsidP="008F6C7E">
            <w:pPr>
              <w:pStyle w:val="a3"/>
              <w:numPr>
                <w:ilvl w:val="0"/>
                <w:numId w:val="44"/>
              </w:numPr>
              <w:ind w:firstLineChars="0"/>
              <w:rPr>
                <w:rFonts w:ascii="Times New Roman" w:hAnsi="Times New Roman" w:cs="Times New Roman"/>
                <w:sz w:val="22"/>
              </w:rPr>
            </w:pPr>
            <w:r w:rsidRPr="008F6C7E">
              <w:rPr>
                <w:rFonts w:ascii="Times New Roman" w:hAnsi="Times New Roman" w:cs="Times New Roman"/>
                <w:sz w:val="22"/>
              </w:rPr>
              <w:t>information exchange between gNBs</w:t>
            </w:r>
          </w:p>
        </w:tc>
        <w:tc>
          <w:tcPr>
            <w:tcW w:w="3798" w:type="dxa"/>
          </w:tcPr>
          <w:p w14:paraId="64B58DE9" w14:textId="05758F05" w:rsidR="008F6C7E" w:rsidRDefault="008F6C7E" w:rsidP="00D06A7D">
            <w:pPr>
              <w:pStyle w:val="a3"/>
              <w:numPr>
                <w:ilvl w:val="0"/>
                <w:numId w:val="45"/>
              </w:numPr>
              <w:ind w:firstLineChars="0"/>
              <w:rPr>
                <w:rFonts w:ascii="Times New Roman" w:hAnsi="Times New Roman" w:cs="Times New Roman"/>
                <w:sz w:val="22"/>
              </w:rPr>
            </w:pPr>
            <w:r>
              <w:rPr>
                <w:rFonts w:ascii="Times New Roman" w:hAnsi="Times New Roman" w:cs="Times New Roman"/>
                <w:sz w:val="22"/>
              </w:rPr>
              <w:t>D</w:t>
            </w:r>
            <w:r w:rsidR="00D06A7D">
              <w:rPr>
                <w:rFonts w:ascii="Times New Roman" w:hAnsi="Times New Roman" w:cs="Times New Roman"/>
                <w:sz w:val="22"/>
              </w:rPr>
              <w:t xml:space="preserve">efine UL muting </w:t>
            </w:r>
            <w:r w:rsidRPr="008F6C7E">
              <w:rPr>
                <w:rFonts w:ascii="Times New Roman" w:hAnsi="Times New Roman" w:cs="Times New Roman"/>
                <w:sz w:val="22"/>
              </w:rPr>
              <w:t>resource patterns</w:t>
            </w:r>
            <w:r w:rsidR="00D06A7D">
              <w:rPr>
                <w:rFonts w:ascii="Times New Roman" w:hAnsi="Times New Roman" w:cs="Times New Roman"/>
                <w:sz w:val="22"/>
              </w:rPr>
              <w:t xml:space="preserve"> and </w:t>
            </w:r>
            <w:r w:rsidRPr="00D06A7D">
              <w:rPr>
                <w:rFonts w:ascii="Times New Roman" w:hAnsi="Times New Roman" w:cs="Times New Roman"/>
                <w:sz w:val="22"/>
              </w:rPr>
              <w:t>PUSCH resource mapping</w:t>
            </w:r>
            <w:r w:rsidR="00D06A7D">
              <w:rPr>
                <w:rFonts w:ascii="Times New Roman" w:hAnsi="Times New Roman" w:cs="Times New Roman"/>
                <w:sz w:val="22"/>
              </w:rPr>
              <w:t xml:space="preserve"> for </w:t>
            </w:r>
            <w:r w:rsidR="00D06A7D" w:rsidRPr="008F6C7E">
              <w:rPr>
                <w:rFonts w:ascii="Times New Roman" w:hAnsi="Times New Roman" w:cs="Times New Roman"/>
                <w:sz w:val="22"/>
              </w:rPr>
              <w:t>non-transparent UL muting</w:t>
            </w:r>
          </w:p>
          <w:p w14:paraId="736FE3D2" w14:textId="73664D1A" w:rsidR="00D06A7D" w:rsidRPr="00D06A7D" w:rsidRDefault="00D06A7D" w:rsidP="00D06A7D">
            <w:pPr>
              <w:pStyle w:val="a3"/>
              <w:numPr>
                <w:ilvl w:val="0"/>
                <w:numId w:val="45"/>
              </w:numPr>
              <w:ind w:firstLineChars="0"/>
              <w:rPr>
                <w:rFonts w:ascii="Times New Roman" w:hAnsi="Times New Roman" w:cs="Times New Roman"/>
                <w:sz w:val="22"/>
              </w:rPr>
            </w:pPr>
            <w:r>
              <w:rPr>
                <w:rFonts w:ascii="Times New Roman" w:hAnsi="Times New Roman" w:cs="Times New Roman"/>
                <w:sz w:val="22"/>
              </w:rPr>
              <w:t>No impact for transparent UL muting</w:t>
            </w:r>
          </w:p>
        </w:tc>
      </w:tr>
    </w:tbl>
    <w:p w14:paraId="242819DD" w14:textId="7ADA81E7" w:rsidR="00C76C2B" w:rsidRDefault="00F9211E" w:rsidP="00C76C2B">
      <w:pPr>
        <w:rPr>
          <w:rFonts w:ascii="Times New Roman" w:eastAsia="Malgun Gothic" w:hAnsi="Times New Roman" w:cs="Times New Roman"/>
          <w:szCs w:val="20"/>
          <w:lang w:eastAsia="ko-KR"/>
        </w:rPr>
      </w:pPr>
      <w:r>
        <w:rPr>
          <w:rFonts w:ascii="Times New Roman" w:hAnsi="Times New Roman" w:cs="Times New Roman"/>
          <w:sz w:val="22"/>
        </w:rPr>
        <w:t>From the results of two sources</w:t>
      </w:r>
      <w:r w:rsidR="00EE121B">
        <w:rPr>
          <w:rFonts w:ascii="Times New Roman" w:hAnsi="Times New Roman" w:cs="Times New Roman"/>
          <w:sz w:val="22"/>
        </w:rPr>
        <w:t xml:space="preserve"> </w:t>
      </w:r>
      <w:r>
        <w:rPr>
          <w:rFonts w:ascii="Times New Roman" w:hAnsi="Times New Roman" w:cs="Times New Roman"/>
          <w:sz w:val="22"/>
        </w:rPr>
        <w:t xml:space="preserve">on </w:t>
      </w:r>
      <w:r w:rsidR="00EE121B">
        <w:rPr>
          <w:rFonts w:ascii="Times New Roman" w:hAnsi="Times New Roman" w:cs="Times New Roman"/>
          <w:sz w:val="22"/>
        </w:rPr>
        <w:t xml:space="preserve">gNB Tx-beam </w:t>
      </w:r>
      <w:r w:rsidR="00563D18">
        <w:rPr>
          <w:rFonts w:ascii="Times New Roman" w:hAnsi="Times New Roman" w:cs="Times New Roman"/>
          <w:sz w:val="22"/>
        </w:rPr>
        <w:t>nulling scheme, compared to semi-static SBFD without gNB Tx-Beam nulling, beam nulling based on gNB-gNB channel measurement has large</w:t>
      </w:r>
      <w:r>
        <w:rPr>
          <w:rFonts w:ascii="Times New Roman" w:hAnsi="Times New Roman" w:cs="Times New Roman"/>
          <w:sz w:val="22"/>
        </w:rPr>
        <w:t>r</w:t>
      </w:r>
      <w:r w:rsidR="00563D18">
        <w:rPr>
          <w:rFonts w:ascii="Times New Roman" w:hAnsi="Times New Roman" w:cs="Times New Roman"/>
          <w:sz w:val="22"/>
        </w:rPr>
        <w:t xml:space="preserve"> mean UL Average-UPT for all loads</w:t>
      </w:r>
      <w:r>
        <w:rPr>
          <w:rFonts w:ascii="Times New Roman" w:hAnsi="Times New Roman" w:cs="Times New Roman"/>
          <w:sz w:val="22"/>
        </w:rPr>
        <w:t xml:space="preserve"> and lower or similar mean and 5% DL Average-UPT. The specification impact is </w:t>
      </w:r>
      <w:r w:rsidR="00B0465C">
        <w:rPr>
          <w:rFonts w:ascii="Times New Roman" w:hAnsi="Times New Roman" w:cs="Times New Roman"/>
          <w:sz w:val="22"/>
        </w:rPr>
        <w:t xml:space="preserve">to </w:t>
      </w:r>
      <w:r>
        <w:rPr>
          <w:rFonts w:ascii="Times New Roman" w:hAnsi="Times New Roman" w:cs="Times New Roman"/>
          <w:sz w:val="22"/>
        </w:rPr>
        <w:t xml:space="preserve">define the procedure of gNB-gNB CLI measurement and reporting including reference signal definition and information exchange between gNBs. </w:t>
      </w:r>
      <w:r w:rsidR="006C2537">
        <w:rPr>
          <w:rFonts w:ascii="Times New Roman" w:hAnsi="Times New Roman" w:cs="Times New Roman"/>
          <w:sz w:val="22"/>
        </w:rPr>
        <w:t xml:space="preserve">According to the agreement on RAN1#110bis-e and RAN1#113, existing DL channel(s)/signal(s)/measurement_resource(s) such as periodic </w:t>
      </w:r>
      <w:r w:rsidR="006C2537" w:rsidRPr="00BC56F4">
        <w:rPr>
          <w:rFonts w:ascii="Times New Roman" w:eastAsia="Malgun Gothic" w:hAnsi="Times New Roman" w:cs="Times New Roman"/>
          <w:szCs w:val="20"/>
          <w:lang w:eastAsia="ko-KR"/>
        </w:rPr>
        <w:t>NZP CSI-RS/SSB</w:t>
      </w:r>
      <w:r w:rsidR="0065138E">
        <w:rPr>
          <w:rFonts w:ascii="Times New Roman" w:eastAsia="Malgun Gothic" w:hAnsi="Times New Roman" w:cs="Times New Roman"/>
          <w:szCs w:val="20"/>
          <w:lang w:eastAsia="ko-KR"/>
        </w:rPr>
        <w:t xml:space="preserve"> were</w:t>
      </w:r>
      <w:r w:rsidR="008C1DBA">
        <w:rPr>
          <w:rFonts w:ascii="Times New Roman" w:eastAsia="Malgun Gothic" w:hAnsi="Times New Roman" w:cs="Times New Roman"/>
          <w:szCs w:val="20"/>
          <w:lang w:eastAsia="ko-KR"/>
        </w:rPr>
        <w:t xml:space="preserve"> considered to be reused as reference signal.</w:t>
      </w:r>
      <w:r w:rsidR="0063194B">
        <w:rPr>
          <w:rFonts w:ascii="Times New Roman" w:eastAsia="Malgun Gothic" w:hAnsi="Times New Roman" w:cs="Times New Roman"/>
          <w:szCs w:val="20"/>
          <w:lang w:eastAsia="ko-KR"/>
        </w:rPr>
        <w:t xml:space="preserve"> The remaining work for gNB Tx-Beam nulling is </w:t>
      </w:r>
      <w:r w:rsidR="0065138E">
        <w:rPr>
          <w:rFonts w:ascii="Times New Roman" w:eastAsia="Malgun Gothic" w:hAnsi="Times New Roman" w:cs="Times New Roman"/>
          <w:szCs w:val="20"/>
          <w:lang w:eastAsia="ko-KR"/>
        </w:rPr>
        <w:t xml:space="preserve">to discuss </w:t>
      </w:r>
      <w:r w:rsidR="0063194B">
        <w:rPr>
          <w:rFonts w:ascii="Times New Roman" w:eastAsia="Malgun Gothic" w:hAnsi="Times New Roman" w:cs="Times New Roman"/>
          <w:szCs w:val="20"/>
          <w:lang w:eastAsia="ko-KR"/>
        </w:rPr>
        <w:t xml:space="preserve">the </w:t>
      </w:r>
      <w:r w:rsidR="0065138E">
        <w:rPr>
          <w:rFonts w:ascii="Times New Roman" w:eastAsia="Malgun Gothic" w:hAnsi="Times New Roman" w:cs="Times New Roman"/>
          <w:szCs w:val="20"/>
          <w:lang w:eastAsia="ko-KR"/>
        </w:rPr>
        <w:t xml:space="preserve">measurement and reporting procedure and the </w:t>
      </w:r>
      <w:r w:rsidR="0063194B">
        <w:rPr>
          <w:rFonts w:ascii="Times New Roman" w:eastAsia="Malgun Gothic" w:hAnsi="Times New Roman" w:cs="Times New Roman"/>
          <w:szCs w:val="20"/>
          <w:lang w:eastAsia="ko-KR"/>
        </w:rPr>
        <w:t xml:space="preserve">information exchange between gNBs of CLI resource configuration and CLI measurement reports. </w:t>
      </w:r>
      <w:r w:rsidR="00A339DB">
        <w:rPr>
          <w:rFonts w:ascii="Times New Roman" w:eastAsia="Malgun Gothic" w:hAnsi="Times New Roman" w:cs="Times New Roman"/>
          <w:szCs w:val="20"/>
          <w:lang w:eastAsia="ko-KR"/>
        </w:rPr>
        <w:t>So t</w:t>
      </w:r>
      <w:r w:rsidR="00E601F0">
        <w:rPr>
          <w:rFonts w:ascii="Times New Roman" w:eastAsia="Malgun Gothic" w:hAnsi="Times New Roman" w:cs="Times New Roman"/>
          <w:szCs w:val="20"/>
          <w:lang w:eastAsia="ko-KR"/>
        </w:rPr>
        <w:t>he work load is reasonable.</w:t>
      </w:r>
    </w:p>
    <w:p w14:paraId="132A520F" w14:textId="38DE1379" w:rsidR="00E76E7B" w:rsidRDefault="00E76E7B" w:rsidP="001D7B03">
      <w:pPr>
        <w:spacing w:beforeLines="50" w:before="156" w:afterLines="50" w:after="156"/>
        <w:rPr>
          <w:rFonts w:ascii="Times New Roman" w:hAnsi="Times New Roman" w:cs="Times New Roman"/>
          <w:sz w:val="22"/>
        </w:rPr>
      </w:pPr>
      <w:r w:rsidRPr="00275493">
        <w:rPr>
          <w:rFonts w:ascii="Times New Roman" w:hAnsi="Times New Roman" w:hint="eastAsia"/>
          <w:b/>
          <w:i/>
          <w:sz w:val="22"/>
        </w:rPr>
        <w:t>Proposal</w:t>
      </w:r>
      <w:r>
        <w:rPr>
          <w:rFonts w:ascii="Times New Roman" w:hAnsi="Times New Roman"/>
          <w:b/>
          <w:i/>
          <w:sz w:val="22"/>
        </w:rPr>
        <w:t xml:space="preserve"> </w:t>
      </w:r>
      <w:r w:rsidR="00D95BAB">
        <w:rPr>
          <w:rFonts w:ascii="Times New Roman" w:hAnsi="Times New Roman"/>
          <w:b/>
          <w:i/>
          <w:sz w:val="22"/>
        </w:rPr>
        <w:t>4</w:t>
      </w:r>
      <w:r>
        <w:rPr>
          <w:rFonts w:ascii="Times New Roman" w:hAnsi="Times New Roman"/>
          <w:b/>
          <w:i/>
          <w:sz w:val="22"/>
        </w:rPr>
        <w:t xml:space="preserve">: For enhancements for </w:t>
      </w:r>
      <w:r w:rsidR="00C24C65">
        <w:rPr>
          <w:rFonts w:ascii="Times New Roman" w:hAnsi="Times New Roman"/>
          <w:b/>
          <w:i/>
          <w:sz w:val="22"/>
        </w:rPr>
        <w:t>gNB-to-gNB</w:t>
      </w:r>
      <w:r>
        <w:rPr>
          <w:rFonts w:ascii="Times New Roman" w:hAnsi="Times New Roman"/>
          <w:b/>
          <w:i/>
          <w:sz w:val="22"/>
        </w:rPr>
        <w:t xml:space="preserve"> CLI handling, s</w:t>
      </w:r>
      <w:r w:rsidRPr="00E76E7B">
        <w:rPr>
          <w:rFonts w:ascii="Times New Roman" w:hAnsi="Times New Roman"/>
          <w:b/>
          <w:i/>
          <w:sz w:val="22"/>
        </w:rPr>
        <w:t xml:space="preserve">patial </w:t>
      </w:r>
      <w:r>
        <w:rPr>
          <w:rFonts w:ascii="Times New Roman" w:hAnsi="Times New Roman"/>
          <w:b/>
          <w:i/>
          <w:sz w:val="22"/>
        </w:rPr>
        <w:t>d</w:t>
      </w:r>
      <w:r w:rsidRPr="00E76E7B">
        <w:rPr>
          <w:rFonts w:ascii="Times New Roman" w:hAnsi="Times New Roman"/>
          <w:b/>
          <w:i/>
          <w:sz w:val="22"/>
        </w:rPr>
        <w:t xml:space="preserve">omain </w:t>
      </w:r>
      <w:r>
        <w:rPr>
          <w:rFonts w:ascii="Times New Roman" w:hAnsi="Times New Roman"/>
          <w:b/>
          <w:i/>
          <w:sz w:val="22"/>
        </w:rPr>
        <w:t>c</w:t>
      </w:r>
      <w:r w:rsidRPr="00E76E7B">
        <w:rPr>
          <w:rFonts w:ascii="Times New Roman" w:hAnsi="Times New Roman"/>
          <w:b/>
          <w:i/>
          <w:sz w:val="22"/>
        </w:rPr>
        <w:t xml:space="preserve">oordination </w:t>
      </w:r>
      <w:r>
        <w:rPr>
          <w:rFonts w:ascii="Times New Roman" w:hAnsi="Times New Roman"/>
          <w:b/>
          <w:i/>
          <w:sz w:val="22"/>
        </w:rPr>
        <w:t>s</w:t>
      </w:r>
      <w:r w:rsidRPr="00E76E7B">
        <w:rPr>
          <w:rFonts w:ascii="Times New Roman" w:hAnsi="Times New Roman"/>
          <w:b/>
          <w:i/>
          <w:sz w:val="22"/>
        </w:rPr>
        <w:t xml:space="preserve">cheme for gNB Tx-Beam </w:t>
      </w:r>
      <w:r>
        <w:rPr>
          <w:rFonts w:ascii="Times New Roman" w:hAnsi="Times New Roman"/>
          <w:b/>
          <w:i/>
          <w:sz w:val="22"/>
        </w:rPr>
        <w:t>n</w:t>
      </w:r>
      <w:r w:rsidRPr="00E76E7B">
        <w:rPr>
          <w:rFonts w:ascii="Times New Roman" w:hAnsi="Times New Roman"/>
          <w:b/>
          <w:i/>
          <w:sz w:val="22"/>
        </w:rPr>
        <w:t>ulling</w:t>
      </w:r>
      <w:r w:rsidR="00633B37">
        <w:rPr>
          <w:rFonts w:ascii="Times New Roman" w:hAnsi="Times New Roman"/>
          <w:b/>
          <w:i/>
          <w:sz w:val="22"/>
        </w:rPr>
        <w:t xml:space="preserve"> can be specified</w:t>
      </w:r>
      <w:r>
        <w:rPr>
          <w:rFonts w:ascii="Times New Roman" w:hAnsi="Times New Roman"/>
          <w:b/>
          <w:i/>
          <w:sz w:val="22"/>
        </w:rPr>
        <w:t>.</w:t>
      </w:r>
    </w:p>
    <w:tbl>
      <w:tblPr>
        <w:tblStyle w:val="aa"/>
        <w:tblW w:w="0" w:type="auto"/>
        <w:tblLook w:val="04A0" w:firstRow="1" w:lastRow="0" w:firstColumn="1" w:lastColumn="0" w:noHBand="0" w:noVBand="1"/>
      </w:tblPr>
      <w:tblGrid>
        <w:gridCol w:w="9322"/>
      </w:tblGrid>
      <w:tr w:rsidR="00C55444" w14:paraId="3C9D4AE0" w14:textId="77777777" w:rsidTr="00C55444">
        <w:tc>
          <w:tcPr>
            <w:tcW w:w="9322" w:type="dxa"/>
          </w:tcPr>
          <w:p w14:paraId="794E438C" w14:textId="77777777" w:rsidR="00C55444" w:rsidRPr="00ED12D1" w:rsidRDefault="00C55444" w:rsidP="00C55444">
            <w:pPr>
              <w:rPr>
                <w:rFonts w:ascii="Times New Roman" w:hAnsi="Times New Roman" w:cs="Times New Roman"/>
                <w:b/>
                <w:bCs/>
                <w:sz w:val="20"/>
                <w:szCs w:val="20"/>
                <w:highlight w:val="green"/>
                <w:lang w:eastAsia="ko-KR"/>
              </w:rPr>
            </w:pPr>
            <w:r w:rsidRPr="00ED12D1">
              <w:rPr>
                <w:rFonts w:ascii="Times New Roman" w:hAnsi="Times New Roman" w:cs="Times New Roman"/>
                <w:b/>
                <w:bCs/>
                <w:sz w:val="20"/>
                <w:szCs w:val="20"/>
                <w:highlight w:val="green"/>
                <w:lang w:eastAsia="ko-KR"/>
              </w:rPr>
              <w:t>Agreement</w:t>
            </w:r>
          </w:p>
          <w:p w14:paraId="4A823956" w14:textId="77777777" w:rsidR="00C55444" w:rsidRPr="00ED12D1" w:rsidRDefault="00C55444" w:rsidP="00C55444">
            <w:pPr>
              <w:rPr>
                <w:rFonts w:ascii="Times New Roman" w:eastAsia="Malgun Gothic" w:hAnsi="Times New Roman" w:cs="Times New Roman"/>
                <w:sz w:val="20"/>
                <w:szCs w:val="20"/>
                <w:lang w:eastAsia="ko-KR"/>
              </w:rPr>
            </w:pPr>
            <w:r w:rsidRPr="00ED12D1">
              <w:rPr>
                <w:rFonts w:ascii="Times New Roman" w:eastAsia="Malgun Gothic" w:hAnsi="Times New Roman" w:cs="Times New Roman"/>
                <w:sz w:val="20"/>
                <w:szCs w:val="20"/>
                <w:lang w:eastAsia="ko-KR"/>
              </w:rPr>
              <w:t>For gNB-to-gNB co-channel CLI measurement, consider as baseline reusing existing DL channel(s)/signal(s)/measurement_resource(s)</w:t>
            </w:r>
          </w:p>
          <w:p w14:paraId="00DE6C3E" w14:textId="77777777" w:rsidR="00C55444" w:rsidRPr="00ED12D1" w:rsidRDefault="00C55444" w:rsidP="00C55444">
            <w:pPr>
              <w:pStyle w:val="a3"/>
              <w:widowControl/>
              <w:numPr>
                <w:ilvl w:val="0"/>
                <w:numId w:val="23"/>
              </w:numPr>
              <w:suppressAutoHyphens/>
              <w:ind w:left="806" w:firstLineChars="0" w:hanging="403"/>
              <w:jc w:val="left"/>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For example, SSB, NZP/ZP-CSI-RS, DMRS for PDCCH/PDSCH, CSI-IM, RSSI measurement resource, etc.</w:t>
            </w:r>
          </w:p>
          <w:p w14:paraId="6FEB2B63" w14:textId="77777777" w:rsidR="00C55444" w:rsidRPr="00ED12D1" w:rsidRDefault="00C55444" w:rsidP="00C55444">
            <w:pPr>
              <w:pStyle w:val="a3"/>
              <w:widowControl/>
              <w:numPr>
                <w:ilvl w:val="0"/>
                <w:numId w:val="23"/>
              </w:numPr>
              <w:suppressAutoHyphens/>
              <w:ind w:left="806" w:firstLineChars="0" w:hanging="403"/>
              <w:jc w:val="left"/>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FFS: Which type of DL channel(s)/signal(s) can be used for gNB-to-gNB co-channel CLI measurement</w:t>
            </w:r>
          </w:p>
          <w:p w14:paraId="2BEC5CE5" w14:textId="77777777" w:rsidR="00C55444" w:rsidRPr="00ED12D1" w:rsidRDefault="00C55444" w:rsidP="00C55444">
            <w:pPr>
              <w:pStyle w:val="a3"/>
              <w:widowControl/>
              <w:numPr>
                <w:ilvl w:val="0"/>
                <w:numId w:val="23"/>
              </w:numPr>
              <w:suppressAutoHyphens/>
              <w:ind w:left="806" w:firstLineChars="0" w:hanging="403"/>
              <w:jc w:val="left"/>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FFS: How resources are used/configured</w:t>
            </w:r>
          </w:p>
          <w:p w14:paraId="64BFBA5F" w14:textId="77777777" w:rsidR="00BC56F4" w:rsidRPr="00ED12D1" w:rsidRDefault="00BC56F4" w:rsidP="00BC56F4">
            <w:pPr>
              <w:rPr>
                <w:rFonts w:ascii="Times New Roman" w:eastAsia="Malgun Gothic" w:hAnsi="Times New Roman" w:cs="Times New Roman"/>
                <w:sz w:val="20"/>
                <w:szCs w:val="20"/>
                <w:lang w:eastAsia="ko-KR"/>
              </w:rPr>
            </w:pPr>
          </w:p>
          <w:p w14:paraId="0B414844" w14:textId="77777777" w:rsidR="00BC56F4" w:rsidRPr="00667CF6" w:rsidRDefault="00BC56F4" w:rsidP="00BC56F4">
            <w:pPr>
              <w:rPr>
                <w:b/>
                <w:bCs/>
                <w:highlight w:val="green"/>
                <w:lang w:eastAsia="ko-KR"/>
              </w:rPr>
            </w:pPr>
            <w:r w:rsidRPr="00667CF6">
              <w:rPr>
                <w:b/>
                <w:bCs/>
                <w:highlight w:val="green"/>
                <w:lang w:eastAsia="ko-KR"/>
              </w:rPr>
              <w:t>Agreement</w:t>
            </w:r>
          </w:p>
          <w:p w14:paraId="627E067C" w14:textId="77777777" w:rsidR="00BC56F4" w:rsidRPr="009A51F4" w:rsidRDefault="00BC56F4" w:rsidP="00BC56F4">
            <w:pPr>
              <w:rPr>
                <w:rFonts w:eastAsia="Malgun Gothic"/>
                <w:b/>
              </w:rPr>
            </w:pPr>
            <w:r>
              <w:rPr>
                <w:rFonts w:eastAsia="Malgun Gothic"/>
                <w:b/>
              </w:rPr>
              <w:t>The following conclusion is to be captured in the TR</w:t>
            </w:r>
          </w:p>
          <w:p w14:paraId="17CB9C37" w14:textId="77777777" w:rsidR="00BC56F4" w:rsidRPr="00BC56F4" w:rsidRDefault="00BC56F4" w:rsidP="00BC56F4">
            <w:pPr>
              <w:rPr>
                <w:rFonts w:ascii="Times New Roman" w:hAnsi="Times New Roman" w:cs="Times New Roman"/>
                <w:szCs w:val="20"/>
              </w:rPr>
            </w:pPr>
            <w:r w:rsidRPr="00BC56F4">
              <w:rPr>
                <w:rFonts w:ascii="Times New Roman" w:eastAsia="Malgun Gothic" w:hAnsi="Times New Roman" w:cs="Times New Roman"/>
                <w:szCs w:val="20"/>
                <w:lang w:eastAsia="ko-KR"/>
              </w:rPr>
              <w:lastRenderedPageBreak/>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followings are observed:</w:t>
            </w:r>
          </w:p>
          <w:p w14:paraId="7934A34C" w14:textId="77777777" w:rsidR="00BC56F4" w:rsidRPr="00BC56F4" w:rsidRDefault="00BC56F4" w:rsidP="00BC56F4">
            <w:pPr>
              <w:pStyle w:val="a3"/>
              <w:numPr>
                <w:ilvl w:val="0"/>
                <w:numId w:val="35"/>
              </w:numPr>
              <w:suppressAutoHyphens/>
              <w:ind w:firstLineChars="0"/>
              <w:contextualSpacing/>
              <w:rPr>
                <w:rFonts w:ascii="Times New Roman" w:eastAsia="Malgun Gothic" w:hAnsi="Times New Roman" w:cs="Times New Roman"/>
                <w:szCs w:val="20"/>
                <w:lang w:eastAsia="ko-KR"/>
              </w:rPr>
            </w:pPr>
            <w:r w:rsidRPr="00BC56F4">
              <w:rPr>
                <w:rFonts w:ascii="Times New Roman" w:eastAsia="Malgun Gothic" w:hAnsi="Times New Roman" w:cs="Times New Roman"/>
                <w:szCs w:val="20"/>
                <w:lang w:eastAsia="ko-KR"/>
              </w:rPr>
              <w:t>gNBs, which measure gNB-to-gNB co-channel CLI using CD-SSBs from neighbor cells, might require muting/skipping some of the CD-SSBs if the time/frequency resource of CD-SSBs for the gNBs is overlapping.</w:t>
            </w:r>
          </w:p>
          <w:p w14:paraId="73699916" w14:textId="77777777" w:rsidR="00BC56F4" w:rsidRPr="00BC56F4" w:rsidRDefault="00BC56F4" w:rsidP="00BC56F4">
            <w:pPr>
              <w:pStyle w:val="a3"/>
              <w:numPr>
                <w:ilvl w:val="1"/>
                <w:numId w:val="35"/>
              </w:numPr>
              <w:suppressAutoHyphens/>
              <w:ind w:firstLineChars="0"/>
              <w:contextualSpacing/>
              <w:rPr>
                <w:rFonts w:ascii="Times New Roman" w:eastAsia="Malgun Gothic" w:hAnsi="Times New Roman" w:cs="Times New Roman"/>
                <w:szCs w:val="20"/>
                <w:lang w:eastAsia="ko-KR"/>
              </w:rPr>
            </w:pPr>
            <w:r w:rsidRPr="00BC56F4">
              <w:rPr>
                <w:rFonts w:ascii="Times New Roman" w:eastAsia="Malgun Gothic" w:hAnsi="Times New Roman" w:cs="Times New Roman"/>
                <w:szCs w:val="20"/>
                <w:lang w:eastAsia="ko-KR"/>
              </w:rPr>
              <w:t>This approach might at least incur impact on initial access / cell search / RRM measurement performance</w:t>
            </w:r>
          </w:p>
          <w:p w14:paraId="3522D236" w14:textId="77777777" w:rsidR="00BC56F4" w:rsidRPr="00BC56F4" w:rsidRDefault="00BC56F4" w:rsidP="00BC56F4">
            <w:pPr>
              <w:pStyle w:val="a3"/>
              <w:numPr>
                <w:ilvl w:val="0"/>
                <w:numId w:val="35"/>
              </w:numPr>
              <w:suppressAutoHyphens/>
              <w:ind w:firstLineChars="0"/>
              <w:contextualSpacing/>
              <w:rPr>
                <w:rFonts w:ascii="Times New Roman" w:eastAsia="Malgun Gothic" w:hAnsi="Times New Roman" w:cs="Times New Roman"/>
                <w:szCs w:val="20"/>
                <w:lang w:eastAsia="ko-KR"/>
              </w:rPr>
            </w:pPr>
            <w:r w:rsidRPr="00BC56F4">
              <w:rPr>
                <w:rFonts w:ascii="Times New Roman" w:hAnsi="Times New Roman" w:cs="Times New Roman"/>
                <w:szCs w:val="20"/>
              </w:rPr>
              <w:t>In order to address the above issue, NCD-SSBs can be used for CLI measurement at victim gNBs.</w:t>
            </w:r>
          </w:p>
          <w:p w14:paraId="13E726C7" w14:textId="77777777" w:rsidR="00BC56F4" w:rsidRPr="00BC56F4" w:rsidRDefault="00BC56F4" w:rsidP="00BC56F4">
            <w:pPr>
              <w:pStyle w:val="a3"/>
              <w:numPr>
                <w:ilvl w:val="0"/>
                <w:numId w:val="35"/>
              </w:numPr>
              <w:suppressAutoHyphens/>
              <w:ind w:firstLineChars="0"/>
              <w:contextualSpacing/>
              <w:rPr>
                <w:rFonts w:ascii="Times New Roman" w:eastAsia="Malgun Gothic" w:hAnsi="Times New Roman" w:cs="Times New Roman"/>
                <w:szCs w:val="20"/>
                <w:lang w:eastAsia="ko-KR"/>
              </w:rPr>
            </w:pPr>
            <w:r w:rsidRPr="00BC56F4">
              <w:rPr>
                <w:rFonts w:ascii="Times New Roman" w:hAnsi="Times New Roman" w:cs="Times New Roman"/>
                <w:szCs w:val="20"/>
              </w:rPr>
              <w:t xml:space="preserve">SSB resources may be useful for coarse tracking of CLI levels </w:t>
            </w:r>
          </w:p>
          <w:p w14:paraId="25C76CDF" w14:textId="77777777" w:rsidR="00BC56F4" w:rsidRPr="00BC56F4" w:rsidRDefault="00BC56F4" w:rsidP="00BC56F4">
            <w:pPr>
              <w:pStyle w:val="a3"/>
              <w:numPr>
                <w:ilvl w:val="0"/>
                <w:numId w:val="35"/>
              </w:numPr>
              <w:suppressAutoHyphens/>
              <w:ind w:firstLineChars="0"/>
              <w:contextualSpacing/>
              <w:rPr>
                <w:rFonts w:ascii="Times New Roman" w:eastAsia="Malgun Gothic" w:hAnsi="Times New Roman" w:cs="Times New Roman"/>
                <w:szCs w:val="20"/>
                <w:lang w:eastAsia="ko-KR"/>
              </w:rPr>
            </w:pPr>
            <w:r w:rsidRPr="00BC56F4">
              <w:rPr>
                <w:rFonts w:ascii="Times New Roman" w:hAnsi="Times New Roman" w:cs="Times New Roman"/>
                <w:szCs w:val="20"/>
              </w:rPr>
              <w:t>NZP CSI-RS resource configurations provided to neighbor gNBs can be used for the purpose of estimating inter-gNB CLI levels.</w:t>
            </w:r>
          </w:p>
          <w:p w14:paraId="6EA872E9" w14:textId="77777777" w:rsidR="00BC56F4" w:rsidRPr="00BC56F4" w:rsidRDefault="00BC56F4" w:rsidP="00BC56F4">
            <w:pPr>
              <w:pStyle w:val="a3"/>
              <w:numPr>
                <w:ilvl w:val="0"/>
                <w:numId w:val="35"/>
              </w:numPr>
              <w:suppressAutoHyphens/>
              <w:ind w:firstLineChars="0"/>
              <w:contextualSpacing/>
              <w:rPr>
                <w:rFonts w:ascii="Times New Roman" w:eastAsia="Malgun Gothic" w:hAnsi="Times New Roman" w:cs="Times New Roman"/>
                <w:szCs w:val="20"/>
                <w:lang w:eastAsia="ko-KR"/>
              </w:rPr>
            </w:pPr>
            <w:r w:rsidRPr="00BC56F4">
              <w:rPr>
                <w:rFonts w:ascii="Times New Roman" w:hAnsi="Times New Roman" w:cs="Times New Roman"/>
                <w:szCs w:val="20"/>
              </w:rPr>
              <w:t>NZP CSI-RS resource configurations provided to neighbor gNBs also can be used for the purpose of estimating inter-gNB channel which helps Tx / Rx gNBs perform beamforming to reduce inter-gNB CLI.</w:t>
            </w:r>
          </w:p>
          <w:p w14:paraId="67081868" w14:textId="77777777" w:rsidR="00C55444" w:rsidRPr="00BC56F4" w:rsidRDefault="00C55444" w:rsidP="00C76C2B">
            <w:pPr>
              <w:rPr>
                <w:rFonts w:ascii="Times New Roman" w:hAnsi="Times New Roman" w:cs="Times New Roman"/>
                <w:sz w:val="22"/>
              </w:rPr>
            </w:pPr>
          </w:p>
        </w:tc>
      </w:tr>
    </w:tbl>
    <w:p w14:paraId="138F5647" w14:textId="7A307F68" w:rsidR="00DD0429" w:rsidRPr="00DD0429" w:rsidRDefault="001C3D69" w:rsidP="00C76C2B">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lastRenderedPageBreak/>
        <w:t>The other gNB-to-gNB CLI handling scheme is based on UL Resource Muting which was evaluated by one source. Compared with semi-static SBFD without inter-gNB CLI handling, Non-Transparent/Transparent UL resource muting based IRC shows higher mean UL Average-UPT in few limited simulation cases at the cost of lower mean DL Average-UPT for all load levels due to the overhead from DL symbol muting. In this scheme, UL resources are muted to get accurate covariance matrix of gNB-gNB CLI to improve UL performance. But the prerequisite for the accurate covariance matrix to work is the accurate channel estimation that is why several DL symbols are muted in the simulation and causes lots of DL overhead.</w:t>
      </w:r>
      <w:r w:rsidR="001D7B03" w:rsidRPr="001D7B03">
        <w:rPr>
          <w:rFonts w:ascii="Times New Roman" w:eastAsia="Malgun Gothic" w:hAnsi="Times New Roman" w:cs="Times New Roman"/>
          <w:szCs w:val="20"/>
          <w:lang w:eastAsia="ko-KR"/>
        </w:rPr>
        <w:t xml:space="preserve"> </w:t>
      </w:r>
      <w:r w:rsidR="001D7B03">
        <w:rPr>
          <w:rFonts w:ascii="Times New Roman" w:eastAsia="Malgun Gothic" w:hAnsi="Times New Roman" w:cs="Times New Roman"/>
          <w:szCs w:val="20"/>
          <w:lang w:eastAsia="ko-KR"/>
        </w:rPr>
        <w:t>Compared with the overhead, the performance gain is limited which makes the motivation to specify this scheme not clear.</w:t>
      </w:r>
      <w:r>
        <w:rPr>
          <w:rFonts w:ascii="Times New Roman" w:eastAsia="Malgun Gothic" w:hAnsi="Times New Roman" w:cs="Times New Roman"/>
          <w:szCs w:val="20"/>
          <w:lang w:eastAsia="ko-KR"/>
        </w:rPr>
        <w:t xml:space="preserve"> </w:t>
      </w:r>
    </w:p>
    <w:p w14:paraId="240F8290" w14:textId="551EAE3B" w:rsidR="00BB0FBC" w:rsidRDefault="002F5DCF" w:rsidP="001D7B03">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sidR="00155541">
        <w:rPr>
          <w:rFonts w:ascii="Times New Roman" w:hAnsi="Times New Roman"/>
          <w:b/>
          <w:i/>
          <w:sz w:val="22"/>
        </w:rPr>
        <w:t xml:space="preserve"> </w:t>
      </w:r>
      <w:r w:rsidR="00D95BAB">
        <w:rPr>
          <w:rFonts w:ascii="Times New Roman" w:hAnsi="Times New Roman"/>
          <w:b/>
          <w:i/>
          <w:sz w:val="22"/>
        </w:rPr>
        <w:t>5</w:t>
      </w:r>
      <w:r w:rsidR="00F76AA0">
        <w:rPr>
          <w:rFonts w:ascii="Times New Roman" w:hAnsi="Times New Roman"/>
          <w:b/>
          <w:i/>
          <w:sz w:val="22"/>
        </w:rPr>
        <w:t>:</w:t>
      </w:r>
      <w:r w:rsidR="002B6A70">
        <w:rPr>
          <w:rFonts w:ascii="Times New Roman" w:hAnsi="Times New Roman"/>
          <w:b/>
          <w:i/>
          <w:sz w:val="22"/>
        </w:rPr>
        <w:t xml:space="preserve"> </w:t>
      </w:r>
      <w:r w:rsidR="007E574D">
        <w:rPr>
          <w:rFonts w:ascii="Times New Roman" w:hAnsi="Times New Roman"/>
          <w:b/>
          <w:i/>
          <w:sz w:val="22"/>
        </w:rPr>
        <w:t xml:space="preserve">For enhancements for </w:t>
      </w:r>
      <w:r w:rsidR="009E51C3">
        <w:rPr>
          <w:rFonts w:ascii="Times New Roman" w:hAnsi="Times New Roman"/>
          <w:b/>
          <w:i/>
          <w:sz w:val="22"/>
        </w:rPr>
        <w:t xml:space="preserve">gNB-to-gNB </w:t>
      </w:r>
      <w:r w:rsidR="007E574D">
        <w:rPr>
          <w:rFonts w:ascii="Times New Roman" w:hAnsi="Times New Roman"/>
          <w:b/>
          <w:i/>
          <w:sz w:val="22"/>
        </w:rPr>
        <w:t>CLI handling,</w:t>
      </w:r>
      <w:r w:rsidR="007E574D" w:rsidRPr="007E574D">
        <w:rPr>
          <w:rFonts w:ascii="Times New Roman" w:hAnsi="Times New Roman"/>
          <w:b/>
          <w:i/>
          <w:sz w:val="22"/>
        </w:rPr>
        <w:t xml:space="preserve"> </w:t>
      </w:r>
      <w:r w:rsidR="00217FC8">
        <w:rPr>
          <w:rFonts w:ascii="Times New Roman" w:hAnsi="Times New Roman"/>
          <w:b/>
          <w:i/>
          <w:sz w:val="22"/>
        </w:rPr>
        <w:t xml:space="preserve">the </w:t>
      </w:r>
      <w:r w:rsidR="002C0007">
        <w:rPr>
          <w:rFonts w:ascii="Times New Roman" w:hAnsi="Times New Roman"/>
          <w:b/>
          <w:i/>
          <w:sz w:val="22"/>
        </w:rPr>
        <w:t>benefit</w:t>
      </w:r>
      <w:r w:rsidR="00217FC8">
        <w:rPr>
          <w:rFonts w:ascii="Times New Roman" w:hAnsi="Times New Roman"/>
          <w:b/>
          <w:i/>
          <w:sz w:val="22"/>
        </w:rPr>
        <w:t xml:space="preserve"> to specify </w:t>
      </w:r>
      <w:r w:rsidR="007E574D" w:rsidRPr="007E574D">
        <w:rPr>
          <w:rFonts w:ascii="Times New Roman" w:hAnsi="Times New Roman"/>
          <w:b/>
          <w:i/>
          <w:sz w:val="22"/>
        </w:rPr>
        <w:t>UL Resource Muting-based scheme for measuring the gNB-to-gNB CLI interference covariance matrix</w:t>
      </w:r>
      <w:r w:rsidR="007E574D">
        <w:rPr>
          <w:rFonts w:ascii="Times New Roman" w:hAnsi="Times New Roman"/>
          <w:b/>
          <w:i/>
          <w:sz w:val="22"/>
        </w:rPr>
        <w:t xml:space="preserve"> should be</w:t>
      </w:r>
      <w:r w:rsidR="00217FC8">
        <w:rPr>
          <w:rFonts w:ascii="Times New Roman" w:hAnsi="Times New Roman"/>
          <w:b/>
          <w:i/>
          <w:sz w:val="22"/>
        </w:rPr>
        <w:t xml:space="preserve"> justified</w:t>
      </w:r>
      <w:r w:rsidR="007E574D">
        <w:rPr>
          <w:rFonts w:ascii="Times New Roman" w:hAnsi="Times New Roman"/>
          <w:b/>
          <w:i/>
          <w:sz w:val="22"/>
        </w:rPr>
        <w:t>.</w:t>
      </w:r>
    </w:p>
    <w:p w14:paraId="7762AC16" w14:textId="0A82E47B" w:rsidR="00FC7FD0" w:rsidRPr="00B861BA" w:rsidRDefault="001D7B03" w:rsidP="00B861BA">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 xml:space="preserve">Moreover, compared with Transparent UL muting scheme, Non-Transparent UL muting scheme shows no significant performance improvement but highly increased complexity and potential issue of PAPR caused by non-consecutive </w:t>
      </w:r>
      <w:r>
        <w:rPr>
          <w:rFonts w:ascii="Times New Roman" w:hAnsi="Times New Roman" w:cs="Times New Roman"/>
          <w:sz w:val="22"/>
        </w:rPr>
        <w:t xml:space="preserve">UL RA allocation for DFT-s-OFDM PUSCH transmission. </w:t>
      </w:r>
      <w:r w:rsidR="0005489F">
        <w:rPr>
          <w:rFonts w:ascii="Times New Roman" w:hAnsi="Times New Roman" w:cs="Times New Roman"/>
          <w:sz w:val="22"/>
        </w:rPr>
        <w:t xml:space="preserve">As a compromise, </w:t>
      </w:r>
      <w:r w:rsidR="00952164">
        <w:rPr>
          <w:rFonts w:ascii="Times New Roman" w:hAnsi="Times New Roman" w:cs="Times New Roman"/>
          <w:sz w:val="22"/>
        </w:rPr>
        <w:t xml:space="preserve">Transparent UL muting scheme could be taken into account </w:t>
      </w:r>
      <w:r w:rsidR="001F45C8">
        <w:rPr>
          <w:rFonts w:ascii="Times New Roman" w:hAnsi="Times New Roman" w:cs="Times New Roman"/>
          <w:sz w:val="22"/>
        </w:rPr>
        <w:t>in</w:t>
      </w:r>
      <w:r w:rsidR="00952164">
        <w:rPr>
          <w:rFonts w:ascii="Times New Roman" w:hAnsi="Times New Roman" w:cs="Times New Roman"/>
          <w:sz w:val="22"/>
        </w:rPr>
        <w:t xml:space="preserve"> </w:t>
      </w:r>
      <w:r w:rsidR="001F45C8">
        <w:rPr>
          <w:rFonts w:ascii="Times New Roman" w:hAnsi="Times New Roman" w:cs="Times New Roman"/>
          <w:sz w:val="22"/>
        </w:rPr>
        <w:t>Rel-19 normative work</w:t>
      </w:r>
      <w:r w:rsidR="003C09D6">
        <w:rPr>
          <w:rFonts w:ascii="Times New Roman" w:hAnsi="Times New Roman" w:cs="Times New Roman"/>
          <w:sz w:val="22"/>
        </w:rPr>
        <w:t>.</w:t>
      </w:r>
    </w:p>
    <w:p w14:paraId="63602936" w14:textId="1C216431" w:rsidR="00B264FE" w:rsidRDefault="00B264FE" w:rsidP="00B264FE">
      <w:pPr>
        <w:pStyle w:val="1"/>
        <w:rPr>
          <w:lang w:eastAsia="zh-CN"/>
        </w:rPr>
      </w:pPr>
      <w:r>
        <w:rPr>
          <w:rFonts w:hint="eastAsia"/>
          <w:lang w:eastAsia="zh-CN"/>
        </w:rPr>
        <w:t>UE</w:t>
      </w:r>
      <w:r w:rsidR="00960C1E">
        <w:rPr>
          <w:lang w:eastAsia="zh-CN"/>
        </w:rPr>
        <w:t>-to-UE</w:t>
      </w:r>
      <w:r>
        <w:rPr>
          <w:lang w:eastAsia="zh-CN"/>
        </w:rPr>
        <w:t xml:space="preserve"> CLI handling</w:t>
      </w:r>
      <w:r w:rsidR="005256F0">
        <w:rPr>
          <w:lang w:eastAsia="zh-CN"/>
        </w:rPr>
        <w:t xml:space="preserve"> </w:t>
      </w:r>
      <w:r w:rsidR="005256F0">
        <w:rPr>
          <w:rFonts w:hint="eastAsia"/>
          <w:lang w:eastAsia="zh-CN"/>
        </w:rPr>
        <w:t>scheme</w:t>
      </w:r>
    </w:p>
    <w:tbl>
      <w:tblPr>
        <w:tblStyle w:val="aa"/>
        <w:tblW w:w="0" w:type="auto"/>
        <w:tblLook w:val="04A0" w:firstRow="1" w:lastRow="0" w:firstColumn="1" w:lastColumn="0" w:noHBand="0" w:noVBand="1"/>
      </w:tblPr>
      <w:tblGrid>
        <w:gridCol w:w="9322"/>
      </w:tblGrid>
      <w:tr w:rsidR="00DD5D4D" w14:paraId="071C8206" w14:textId="77777777" w:rsidTr="00DD5D4D">
        <w:tc>
          <w:tcPr>
            <w:tcW w:w="9322" w:type="dxa"/>
          </w:tcPr>
          <w:p w14:paraId="0BA3B162" w14:textId="77777777" w:rsidR="007E20BB" w:rsidRPr="007E20BB" w:rsidRDefault="007E20BB" w:rsidP="007E20BB">
            <w:pPr>
              <w:rPr>
                <w:rFonts w:ascii="Times New Roman" w:eastAsia="Malgun Gothic" w:hAnsi="Times New Roman" w:cs="Times New Roman"/>
                <w:b/>
                <w:szCs w:val="20"/>
                <w:highlight w:val="green"/>
              </w:rPr>
            </w:pPr>
            <w:r w:rsidRPr="007E20BB">
              <w:rPr>
                <w:rFonts w:ascii="Times New Roman" w:eastAsia="Malgun Gothic" w:hAnsi="Times New Roman" w:cs="Times New Roman"/>
                <w:b/>
                <w:szCs w:val="20"/>
                <w:highlight w:val="green"/>
              </w:rPr>
              <w:t>Agreement</w:t>
            </w:r>
          </w:p>
          <w:p w14:paraId="21D8C2BD" w14:textId="77777777" w:rsidR="007E20BB" w:rsidRPr="007E20BB" w:rsidRDefault="007E20BB" w:rsidP="007E20BB">
            <w:pPr>
              <w:rPr>
                <w:rFonts w:ascii="Times New Roman" w:hAnsi="Times New Roman" w:cs="Times New Roman"/>
                <w:szCs w:val="20"/>
              </w:rPr>
            </w:pPr>
            <w:r w:rsidRPr="007E20BB">
              <w:rPr>
                <w:rFonts w:ascii="Times New Roman" w:hAnsi="Times New Roman" w:cs="Times New Roman"/>
                <w:szCs w:val="20"/>
              </w:rPr>
              <w:t>For inter-UE inter-subband CLI measurement, study at least the following methods:</w:t>
            </w:r>
          </w:p>
          <w:p w14:paraId="13B380BD" w14:textId="77777777" w:rsidR="007E20BB" w:rsidRPr="007E20BB" w:rsidRDefault="007E20BB" w:rsidP="007E20BB">
            <w:pPr>
              <w:widowControl/>
              <w:numPr>
                <w:ilvl w:val="1"/>
                <w:numId w:val="46"/>
              </w:numPr>
              <w:rPr>
                <w:rFonts w:ascii="Times New Roman" w:eastAsia="Malgun Gothic" w:hAnsi="Times New Roman" w:cs="Times New Roman"/>
                <w:szCs w:val="20"/>
              </w:rPr>
            </w:pPr>
            <w:r w:rsidRPr="007E20BB">
              <w:rPr>
                <w:rFonts w:ascii="Times New Roman" w:eastAsia="Malgun Gothic" w:hAnsi="Times New Roman" w:cs="Times New Roman"/>
                <w:szCs w:val="20"/>
              </w:rPr>
              <w:t>Method#1: victim UE measures RSSI within DL subband</w:t>
            </w:r>
          </w:p>
          <w:p w14:paraId="685E8F5A" w14:textId="77777777" w:rsidR="007E20BB" w:rsidRPr="007E20BB" w:rsidRDefault="007E20BB" w:rsidP="007E20BB">
            <w:pPr>
              <w:widowControl/>
              <w:numPr>
                <w:ilvl w:val="2"/>
                <w:numId w:val="46"/>
              </w:numPr>
              <w:rPr>
                <w:rFonts w:ascii="Times New Roman" w:eastAsia="Malgun Gothic" w:hAnsi="Times New Roman" w:cs="Times New Roman"/>
                <w:szCs w:val="20"/>
              </w:rPr>
            </w:pPr>
            <w:r w:rsidRPr="007E20BB">
              <w:rPr>
                <w:rFonts w:ascii="Times New Roman" w:eastAsia="Malgun Gothic" w:hAnsi="Times New Roman" w:cs="Times New Roman"/>
                <w:szCs w:val="20"/>
              </w:rPr>
              <w:t>FFS: Whether SINR can be measured</w:t>
            </w:r>
          </w:p>
          <w:p w14:paraId="0EAE4E7C" w14:textId="77777777" w:rsidR="007E20BB" w:rsidRPr="007E20BB" w:rsidRDefault="007E20BB" w:rsidP="007E20BB">
            <w:pPr>
              <w:widowControl/>
              <w:numPr>
                <w:ilvl w:val="1"/>
                <w:numId w:val="46"/>
              </w:numPr>
              <w:rPr>
                <w:rFonts w:ascii="Times New Roman" w:eastAsia="Malgun Gothic" w:hAnsi="Times New Roman" w:cs="Times New Roman"/>
                <w:szCs w:val="20"/>
              </w:rPr>
            </w:pPr>
            <w:r w:rsidRPr="007E20BB">
              <w:rPr>
                <w:rFonts w:ascii="Times New Roman" w:eastAsia="Malgun Gothic" w:hAnsi="Times New Roman" w:cs="Times New Roman"/>
                <w:szCs w:val="20"/>
              </w:rPr>
              <w:t>Method#2: victim UE measures RSRP of aggressor UE within UL subband</w:t>
            </w:r>
          </w:p>
          <w:p w14:paraId="500595E8" w14:textId="77777777" w:rsidR="007E20BB" w:rsidRPr="007E20BB" w:rsidRDefault="007E20BB" w:rsidP="007E20BB">
            <w:pPr>
              <w:widowControl/>
              <w:numPr>
                <w:ilvl w:val="1"/>
                <w:numId w:val="46"/>
              </w:numPr>
              <w:rPr>
                <w:rFonts w:ascii="Times New Roman" w:eastAsia="Malgun Gothic" w:hAnsi="Times New Roman" w:cs="Times New Roman"/>
                <w:szCs w:val="20"/>
              </w:rPr>
            </w:pPr>
            <w:r w:rsidRPr="007E20BB">
              <w:rPr>
                <w:rFonts w:ascii="Times New Roman" w:eastAsia="Malgun Gothic" w:hAnsi="Times New Roman" w:cs="Times New Roman"/>
                <w:szCs w:val="20"/>
              </w:rPr>
              <w:t xml:space="preserve">Method#3: victim UE measures RSSI within UL subband </w:t>
            </w:r>
          </w:p>
          <w:p w14:paraId="31996428" w14:textId="77777777" w:rsidR="00DD5D4D" w:rsidRPr="007E20BB" w:rsidRDefault="007E20BB" w:rsidP="007E20BB">
            <w:pPr>
              <w:widowControl/>
              <w:numPr>
                <w:ilvl w:val="1"/>
                <w:numId w:val="46"/>
              </w:numPr>
              <w:rPr>
                <w:rFonts w:ascii="Times New Roman" w:eastAsia="Malgun Gothic" w:hAnsi="Times New Roman" w:cs="Times New Roman"/>
                <w:szCs w:val="20"/>
              </w:rPr>
            </w:pPr>
            <w:r w:rsidRPr="007E20BB">
              <w:rPr>
                <w:rFonts w:ascii="Times New Roman" w:eastAsia="Malgun Gothic" w:hAnsi="Times New Roman" w:cs="Times New Roman"/>
                <w:szCs w:val="20"/>
              </w:rPr>
              <w:t>Note: the restriction in Rel-16 that CLI is only measured within DL BWP does not forbid UE to measure CLI in UL subband when UL subband is confined within DL BWP.</w:t>
            </w:r>
          </w:p>
          <w:p w14:paraId="422E9BEE" w14:textId="77777777" w:rsidR="00CC7D08" w:rsidRPr="00CC7D08" w:rsidRDefault="00CC7D08" w:rsidP="00CC7D08">
            <w:pPr>
              <w:rPr>
                <w:rFonts w:ascii="Times New Roman" w:eastAsia="Malgun Gothic" w:hAnsi="Times New Roman" w:cs="Times New Roman"/>
                <w:b/>
                <w:highlight w:val="green"/>
              </w:rPr>
            </w:pPr>
            <w:r w:rsidRPr="00CC7D08">
              <w:rPr>
                <w:rFonts w:ascii="Times New Roman" w:eastAsia="Malgun Gothic" w:hAnsi="Times New Roman" w:cs="Times New Roman"/>
                <w:b/>
                <w:highlight w:val="green"/>
              </w:rPr>
              <w:t>Agreement</w:t>
            </w:r>
          </w:p>
          <w:p w14:paraId="1120D5C7" w14:textId="77777777" w:rsidR="00CC7D08" w:rsidRPr="00CC7D08" w:rsidRDefault="00CC7D08" w:rsidP="00CC7D08">
            <w:pPr>
              <w:rPr>
                <w:rFonts w:ascii="Times New Roman" w:eastAsia="Malgun Gothic" w:hAnsi="Times New Roman" w:cs="Times New Roman"/>
              </w:rPr>
            </w:pPr>
            <w:r w:rsidRPr="00CC7D08">
              <w:rPr>
                <w:rFonts w:ascii="Times New Roman" w:hAnsi="Times New Roman" w:cs="Times New Roman"/>
              </w:rPr>
              <w:lastRenderedPageBreak/>
              <w:t>For inter-UE inter-subband CLI measurement,</w:t>
            </w:r>
            <w:r w:rsidRPr="00CC7D08">
              <w:rPr>
                <w:rFonts w:ascii="Times New Roman" w:eastAsia="Malgun Gothic" w:hAnsi="Times New Roman" w:cs="Times New Roman"/>
              </w:rPr>
              <w:t xml:space="preserve"> study Method#2 and Method#3 considering:</w:t>
            </w:r>
          </w:p>
          <w:p w14:paraId="33B5DE61" w14:textId="77777777" w:rsidR="00CC7D08" w:rsidRPr="00CC7D08" w:rsidRDefault="00CC7D08" w:rsidP="00CC7D08">
            <w:pPr>
              <w:widowControl/>
              <w:numPr>
                <w:ilvl w:val="0"/>
                <w:numId w:val="47"/>
              </w:numPr>
              <w:jc w:val="left"/>
              <w:rPr>
                <w:rFonts w:ascii="Times New Roman" w:eastAsia="Malgun Gothic" w:hAnsi="Times New Roman" w:cs="Times New Roman"/>
              </w:rPr>
            </w:pPr>
            <w:r w:rsidRPr="00CC7D08">
              <w:rPr>
                <w:rFonts w:ascii="Times New Roman" w:eastAsia="Malgun Gothic" w:hAnsi="Times New Roman" w:cs="Times New Roman"/>
              </w:rPr>
              <w:t>Necessity/benefit compared with measurement within DL subband</w:t>
            </w:r>
          </w:p>
          <w:p w14:paraId="6320F3B9" w14:textId="77777777" w:rsidR="00CC7D08" w:rsidRPr="00CC7D08" w:rsidRDefault="00CC7D08" w:rsidP="00CC7D08">
            <w:pPr>
              <w:widowControl/>
              <w:numPr>
                <w:ilvl w:val="0"/>
                <w:numId w:val="47"/>
              </w:numPr>
              <w:jc w:val="left"/>
              <w:rPr>
                <w:rFonts w:ascii="Times New Roman" w:eastAsia="Malgun Gothic" w:hAnsi="Times New Roman" w:cs="Times New Roman"/>
              </w:rPr>
            </w:pPr>
            <w:r w:rsidRPr="00CC7D08">
              <w:rPr>
                <w:rFonts w:ascii="Times New Roman" w:eastAsia="Malgun Gothic" w:hAnsi="Times New Roman" w:cs="Times New Roman"/>
              </w:rPr>
              <w:t>Whether/how to estimate CLI from RSRP/RSSI measurements within UL subband / guardband</w:t>
            </w:r>
          </w:p>
          <w:p w14:paraId="0232DACD" w14:textId="77777777" w:rsidR="00CC7D08" w:rsidRPr="00CC7D08" w:rsidRDefault="00CC7D08" w:rsidP="00CC7D08">
            <w:pPr>
              <w:widowControl/>
              <w:numPr>
                <w:ilvl w:val="0"/>
                <w:numId w:val="47"/>
              </w:numPr>
              <w:jc w:val="left"/>
              <w:rPr>
                <w:rFonts w:ascii="Times New Roman" w:eastAsia="Malgun Gothic" w:hAnsi="Times New Roman" w:cs="Times New Roman"/>
              </w:rPr>
            </w:pPr>
            <w:r w:rsidRPr="00CC7D08">
              <w:rPr>
                <w:rFonts w:ascii="Times New Roman" w:eastAsia="Malgun Gothic" w:hAnsi="Times New Roman" w:cs="Times New Roman"/>
              </w:rPr>
              <w:t>Whether UE is required to measure RSRP/RSSI within UL subband and receive DL in DL subband(s) simultaneously</w:t>
            </w:r>
          </w:p>
          <w:p w14:paraId="74008EBC" w14:textId="77777777" w:rsidR="00CC7D08" w:rsidRPr="00CC7D08" w:rsidRDefault="00CC7D08" w:rsidP="00CC7D08">
            <w:pPr>
              <w:widowControl/>
              <w:numPr>
                <w:ilvl w:val="0"/>
                <w:numId w:val="47"/>
              </w:numPr>
              <w:jc w:val="left"/>
              <w:rPr>
                <w:rFonts w:ascii="Times New Roman" w:eastAsia="Malgun Gothic" w:hAnsi="Times New Roman" w:cs="Times New Roman"/>
              </w:rPr>
            </w:pPr>
            <w:r w:rsidRPr="00CC7D08">
              <w:rPr>
                <w:rFonts w:ascii="Times New Roman" w:eastAsia="Malgun Gothic" w:hAnsi="Times New Roman" w:cs="Times New Roman"/>
              </w:rPr>
              <w:t>Whether existing CLI measurement and report framework can be reused to support RSRP/RSSI measurements within UL subband</w:t>
            </w:r>
          </w:p>
          <w:p w14:paraId="5470BF34" w14:textId="77777777" w:rsidR="00CC7D08" w:rsidRPr="00CC7D08" w:rsidRDefault="00CC7D08" w:rsidP="00CC7D08">
            <w:pPr>
              <w:widowControl/>
              <w:numPr>
                <w:ilvl w:val="1"/>
                <w:numId w:val="47"/>
              </w:numPr>
              <w:ind w:left="1134" w:hanging="283"/>
              <w:jc w:val="left"/>
              <w:rPr>
                <w:rFonts w:ascii="Times New Roman" w:eastAsia="Malgun Gothic" w:hAnsi="Times New Roman" w:cs="Times New Roman"/>
              </w:rPr>
            </w:pPr>
            <w:r w:rsidRPr="00CC7D08">
              <w:rPr>
                <w:rFonts w:ascii="Times New Roman" w:eastAsia="Malgun Gothic" w:hAnsi="Times New Roman" w:cs="Times New Roman"/>
              </w:rPr>
              <w:t>If not, identify the potential impact</w:t>
            </w:r>
          </w:p>
          <w:p w14:paraId="2855B1BF" w14:textId="77777777" w:rsidR="00CC7D08" w:rsidRPr="00CC7D08" w:rsidRDefault="00CC7D08" w:rsidP="00CC7D08">
            <w:pPr>
              <w:rPr>
                <w:rFonts w:ascii="Times New Roman" w:eastAsia="Malgun Gothic" w:hAnsi="Times New Roman" w:cs="Times New Roman"/>
                <w:b/>
                <w:highlight w:val="green"/>
              </w:rPr>
            </w:pPr>
            <w:r w:rsidRPr="00CC7D08">
              <w:rPr>
                <w:rFonts w:ascii="Times New Roman" w:eastAsia="Malgun Gothic" w:hAnsi="Times New Roman" w:cs="Times New Roman"/>
                <w:b/>
                <w:highlight w:val="green"/>
              </w:rPr>
              <w:t>Agreement</w:t>
            </w:r>
          </w:p>
          <w:p w14:paraId="7A90C3C0" w14:textId="77777777" w:rsidR="00CC7D08" w:rsidRPr="00CC7D08" w:rsidRDefault="00CC7D08" w:rsidP="00CC7D08">
            <w:pPr>
              <w:rPr>
                <w:rFonts w:ascii="Times New Roman" w:eastAsia="Malgun Gothic" w:hAnsi="Times New Roman" w:cs="Times New Roman"/>
                <w:b/>
              </w:rPr>
            </w:pPr>
            <w:r w:rsidRPr="00CC7D08">
              <w:rPr>
                <w:rFonts w:ascii="Times New Roman" w:eastAsia="Malgun Gothic" w:hAnsi="Times New Roman" w:cs="Times New Roman"/>
                <w:b/>
              </w:rPr>
              <w:t>The following conclusion is to be captured in the TR</w:t>
            </w:r>
          </w:p>
          <w:p w14:paraId="1EB29503" w14:textId="77777777" w:rsidR="00CC7D08" w:rsidRPr="00CC7D08" w:rsidRDefault="00CC7D08" w:rsidP="00CC7D08">
            <w:pPr>
              <w:pStyle w:val="a3"/>
              <w:widowControl/>
              <w:numPr>
                <w:ilvl w:val="0"/>
                <w:numId w:val="48"/>
              </w:numPr>
              <w:ind w:firstLineChars="0"/>
              <w:jc w:val="left"/>
              <w:rPr>
                <w:rFonts w:ascii="Times New Roman" w:eastAsia="Malgun Gothic" w:hAnsi="Times New Roman" w:cs="Times New Roman"/>
                <w:szCs w:val="20"/>
              </w:rPr>
            </w:pPr>
            <w:r w:rsidRPr="00CC7D08">
              <w:rPr>
                <w:rFonts w:ascii="Times New Roman" w:eastAsia="Malgun Gothic" w:hAnsi="Times New Roman" w:cs="Times New Roman"/>
                <w:szCs w:val="20"/>
              </w:rPr>
              <w:t xml:space="preserve">For the methods agreed to be studied for </w:t>
            </w:r>
            <w:r w:rsidRPr="00CC7D08">
              <w:rPr>
                <w:rFonts w:ascii="Times New Roman" w:hAnsi="Times New Roman" w:cs="Times New Roman"/>
                <w:szCs w:val="20"/>
              </w:rPr>
              <w:t>inter-UE inter-subband CLI measurement</w:t>
            </w:r>
            <w:r w:rsidRPr="00CC7D08">
              <w:rPr>
                <w:rFonts w:ascii="Times New Roman" w:eastAsia="Malgun Gothic" w:hAnsi="Times New Roman" w:cs="Times New Roman"/>
                <w:szCs w:val="20"/>
              </w:rPr>
              <w:t>, Method #2 and Method #3 can be used for identifying the aggressor UE(s) if orthogonal resources are allocated for different aggressor UE(s); and Method #2 and #3 can at least provide higher interference signal strength than inter-subband interference leakage based measurements in Method #1. Furthermore, such measurement is not subject to inter-cell DL interference.</w:t>
            </w:r>
          </w:p>
          <w:p w14:paraId="440B5C19" w14:textId="77777777" w:rsidR="00CC7D08" w:rsidRPr="00CC7D08" w:rsidRDefault="00CC7D08" w:rsidP="00CC7D08">
            <w:pPr>
              <w:pStyle w:val="a3"/>
              <w:widowControl/>
              <w:numPr>
                <w:ilvl w:val="0"/>
                <w:numId w:val="48"/>
              </w:numPr>
              <w:ind w:firstLineChars="0"/>
              <w:jc w:val="left"/>
              <w:rPr>
                <w:rFonts w:ascii="Times New Roman" w:eastAsia="Malgun Gothic" w:hAnsi="Times New Roman" w:cs="Times New Roman"/>
                <w:szCs w:val="20"/>
              </w:rPr>
            </w:pPr>
            <w:r w:rsidRPr="00CC7D08">
              <w:rPr>
                <w:rFonts w:ascii="Times New Roman" w:eastAsia="Malgun Gothic" w:hAnsi="Times New Roman" w:cs="Times New Roman"/>
                <w:szCs w:val="20"/>
              </w:rPr>
              <w:t>It is feasible for UE to measure RSRP/RSSI within UL subband if within active DL BWP and receive DL in DL subband(s) simultaneously similar as simultaneous RSRP/RSSI measurement and DL reception in Rel-16.</w:t>
            </w:r>
          </w:p>
          <w:p w14:paraId="097D639E" w14:textId="77777777" w:rsidR="007E20BB" w:rsidRDefault="00CC7D08" w:rsidP="007E20BB">
            <w:pPr>
              <w:pStyle w:val="a3"/>
              <w:widowControl/>
              <w:numPr>
                <w:ilvl w:val="0"/>
                <w:numId w:val="48"/>
              </w:numPr>
              <w:ind w:firstLineChars="0"/>
              <w:jc w:val="left"/>
              <w:rPr>
                <w:rFonts w:ascii="Times New Roman" w:eastAsia="Malgun Gothic" w:hAnsi="Times New Roman" w:cs="Times New Roman"/>
                <w:szCs w:val="20"/>
              </w:rPr>
            </w:pPr>
            <w:r w:rsidRPr="00CC7D08">
              <w:rPr>
                <w:rFonts w:ascii="Times New Roman" w:eastAsia="Malgun Gothic" w:hAnsi="Times New Roman" w:cs="Times New Roman"/>
                <w:szCs w:val="20"/>
              </w:rPr>
              <w:t>The existing CLI measurement and report framework can be reused to support RSRP/RSSI measurements within UL subband when UL subband is confined within active DL BWP.</w:t>
            </w:r>
          </w:p>
          <w:p w14:paraId="616ECA26" w14:textId="77777777" w:rsidR="00226010" w:rsidRPr="00226010" w:rsidRDefault="00226010" w:rsidP="00226010">
            <w:pPr>
              <w:tabs>
                <w:tab w:val="left" w:pos="0"/>
              </w:tabs>
              <w:rPr>
                <w:rFonts w:ascii="Times New Roman" w:eastAsia="Malgun Gothic" w:hAnsi="Times New Roman" w:cs="Times New Roman"/>
                <w:b/>
                <w:bCs/>
                <w:szCs w:val="20"/>
                <w:highlight w:val="green"/>
              </w:rPr>
            </w:pPr>
            <w:r w:rsidRPr="00226010">
              <w:rPr>
                <w:rFonts w:ascii="Times New Roman" w:eastAsia="Malgun Gothic" w:hAnsi="Times New Roman" w:cs="Times New Roman"/>
                <w:b/>
                <w:bCs/>
                <w:szCs w:val="20"/>
                <w:highlight w:val="green"/>
              </w:rPr>
              <w:t>Agreement</w:t>
            </w:r>
          </w:p>
          <w:p w14:paraId="724DFAD4" w14:textId="77777777" w:rsidR="00226010" w:rsidRPr="00226010" w:rsidRDefault="00226010" w:rsidP="00226010">
            <w:pPr>
              <w:rPr>
                <w:rFonts w:ascii="Times New Roman" w:eastAsia="Malgun Gothic" w:hAnsi="Times New Roman" w:cs="Times New Roman"/>
                <w:szCs w:val="20"/>
              </w:rPr>
            </w:pPr>
            <w:r w:rsidRPr="00226010">
              <w:rPr>
                <w:rFonts w:ascii="Times New Roman" w:eastAsia="Malgun Gothic" w:hAnsi="Times New Roman" w:cs="Times New Roman"/>
                <w:szCs w:val="20"/>
              </w:rPr>
              <w:t xml:space="preserve">For the three methods agreed to be studied for </w:t>
            </w:r>
            <w:r w:rsidRPr="00226010">
              <w:rPr>
                <w:rFonts w:ascii="Times New Roman" w:hAnsi="Times New Roman" w:cs="Times New Roman"/>
                <w:szCs w:val="20"/>
              </w:rPr>
              <w:t>UE-to-UE CLI-RSSI measurement/report across downlink subbands</w:t>
            </w:r>
            <w:r w:rsidRPr="00226010">
              <w:rPr>
                <w:rFonts w:ascii="Times New Roman" w:eastAsia="Malgun Gothic" w:hAnsi="Times New Roman" w:cs="Times New Roman"/>
                <w:szCs w:val="20"/>
              </w:rPr>
              <w:t>, the following observations are agreed.</w:t>
            </w:r>
          </w:p>
          <w:p w14:paraId="349C8DDA" w14:textId="77777777" w:rsidR="00226010" w:rsidRPr="00226010" w:rsidRDefault="00226010" w:rsidP="00226010">
            <w:pPr>
              <w:pStyle w:val="a3"/>
              <w:widowControl/>
              <w:numPr>
                <w:ilvl w:val="1"/>
                <w:numId w:val="49"/>
              </w:numPr>
              <w:suppressAutoHyphens/>
              <w:ind w:firstLineChars="0"/>
              <w:jc w:val="left"/>
              <w:rPr>
                <w:rFonts w:ascii="Times New Roman" w:eastAsia="Malgun Gothic" w:hAnsi="Times New Roman" w:cs="Times New Roman"/>
                <w:szCs w:val="20"/>
              </w:rPr>
            </w:pPr>
            <w:r w:rsidRPr="00226010">
              <w:rPr>
                <w:rFonts w:ascii="Times New Roman" w:eastAsia="Malgun Gothic" w:hAnsi="Times New Roman" w:cs="Times New Roman"/>
                <w:szCs w:val="20"/>
              </w:rPr>
              <w:t xml:space="preserve">Method #1 allows flexible configuration of measurement reporting in one DL subband or two DL subbands but it consumes multiple CLI-RSSI measurement resources from the UE capability budget. </w:t>
            </w:r>
          </w:p>
          <w:p w14:paraId="74FAC154" w14:textId="77777777" w:rsidR="00226010" w:rsidRPr="00226010" w:rsidRDefault="00226010" w:rsidP="00226010">
            <w:pPr>
              <w:pStyle w:val="a3"/>
              <w:widowControl/>
              <w:numPr>
                <w:ilvl w:val="1"/>
                <w:numId w:val="49"/>
              </w:numPr>
              <w:suppressAutoHyphens/>
              <w:ind w:firstLineChars="0"/>
              <w:jc w:val="left"/>
              <w:rPr>
                <w:rFonts w:ascii="Times New Roman" w:eastAsia="Malgun Gothic" w:hAnsi="Times New Roman" w:cs="Times New Roman"/>
                <w:szCs w:val="20"/>
              </w:rPr>
            </w:pPr>
            <w:r w:rsidRPr="00226010">
              <w:rPr>
                <w:rFonts w:ascii="Times New Roman" w:eastAsia="Malgun Gothic" w:hAnsi="Times New Roman" w:cs="Times New Roman"/>
                <w:szCs w:val="20"/>
              </w:rPr>
              <w:t>Method #2 restricts gNB configuration flexibility and does not account for whether or not the CLI is asymmetric across two DL subbands. This method does not consume multiple CLI-RSSI measurement resources from UE capability point of view.</w:t>
            </w:r>
          </w:p>
          <w:p w14:paraId="52D7AB40" w14:textId="77777777" w:rsidR="00226010" w:rsidRPr="00226010" w:rsidRDefault="00226010" w:rsidP="00226010">
            <w:pPr>
              <w:pStyle w:val="a3"/>
              <w:widowControl/>
              <w:numPr>
                <w:ilvl w:val="1"/>
                <w:numId w:val="49"/>
              </w:numPr>
              <w:suppressAutoHyphens/>
              <w:ind w:firstLineChars="0"/>
              <w:jc w:val="left"/>
              <w:rPr>
                <w:rFonts w:ascii="Times New Roman" w:eastAsia="Malgun Gothic" w:hAnsi="Times New Roman" w:cs="Times New Roman"/>
                <w:szCs w:val="20"/>
              </w:rPr>
            </w:pPr>
            <w:r w:rsidRPr="00226010">
              <w:rPr>
                <w:rFonts w:ascii="Times New Roman" w:eastAsia="Malgun Gothic" w:hAnsi="Times New Roman" w:cs="Times New Roman"/>
                <w:szCs w:val="20"/>
              </w:rPr>
              <w:t>Method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p>
          <w:p w14:paraId="0E91B6BF" w14:textId="2150EB11" w:rsidR="00226010" w:rsidRPr="00226010" w:rsidRDefault="00226010" w:rsidP="00226010">
            <w:pPr>
              <w:pStyle w:val="a3"/>
              <w:suppressAutoHyphens/>
              <w:rPr>
                <w:rFonts w:eastAsia="Malgun Gothic" w:cs="Times"/>
                <w:szCs w:val="20"/>
              </w:rPr>
            </w:pPr>
            <w:r w:rsidRPr="00226010">
              <w:rPr>
                <w:rFonts w:ascii="Times New Roman" w:eastAsia="Malgun Gothic" w:hAnsi="Times New Roman" w:cs="Times New Roman"/>
                <w:szCs w:val="20"/>
              </w:rPr>
              <w:t>Note: Above does not imply whether L1 or L2 based measurement is supported.</w:t>
            </w:r>
          </w:p>
        </w:tc>
      </w:tr>
    </w:tbl>
    <w:p w14:paraId="49D8757B" w14:textId="67756C2B" w:rsidR="00412B98" w:rsidRDefault="00F227C2" w:rsidP="00212222">
      <w:pPr>
        <w:widowControl/>
        <w:spacing w:beforeLines="50" w:before="156" w:afterLines="50" w:after="156"/>
        <w:rPr>
          <w:rFonts w:ascii="Times New Roman" w:hAnsi="Times New Roman" w:cs="Times New Roman"/>
          <w:sz w:val="22"/>
        </w:rPr>
      </w:pPr>
      <w:r>
        <w:rPr>
          <w:rFonts w:ascii="Times New Roman" w:hAnsi="Times New Roman" w:cs="Times New Roman" w:hint="eastAsia"/>
          <w:sz w:val="22"/>
        </w:rPr>
        <w:lastRenderedPageBreak/>
        <w:t>F</w:t>
      </w:r>
      <w:r w:rsidR="00D61E7F">
        <w:rPr>
          <w:rFonts w:ascii="Times New Roman" w:hAnsi="Times New Roman" w:cs="Times New Roman"/>
          <w:sz w:val="22"/>
        </w:rPr>
        <w:t>or UE-</w:t>
      </w:r>
      <w:r w:rsidR="00434864">
        <w:rPr>
          <w:rFonts w:ascii="Times New Roman" w:hAnsi="Times New Roman" w:cs="Times New Roman"/>
          <w:sz w:val="22"/>
        </w:rPr>
        <w:t>to-</w:t>
      </w:r>
      <w:r w:rsidR="00D61E7F">
        <w:rPr>
          <w:rFonts w:ascii="Times New Roman" w:hAnsi="Times New Roman" w:cs="Times New Roman"/>
          <w:sz w:val="22"/>
        </w:rPr>
        <w:t xml:space="preserve">UE CLI </w:t>
      </w:r>
      <w:r w:rsidR="00B616C0">
        <w:rPr>
          <w:rFonts w:ascii="Times New Roman" w:hAnsi="Times New Roman" w:cs="Times New Roman"/>
          <w:sz w:val="22"/>
        </w:rPr>
        <w:t xml:space="preserve">handling, inter-subband CLI </w:t>
      </w:r>
      <w:r w:rsidR="00D61E7F">
        <w:rPr>
          <w:rFonts w:ascii="Times New Roman" w:hAnsi="Times New Roman" w:cs="Times New Roman"/>
          <w:sz w:val="22"/>
        </w:rPr>
        <w:t>measurement</w:t>
      </w:r>
      <w:r w:rsidR="00B616C0">
        <w:rPr>
          <w:rFonts w:ascii="Times New Roman" w:hAnsi="Times New Roman" w:cs="Times New Roman"/>
          <w:sz w:val="22"/>
        </w:rPr>
        <w:t xml:space="preserve"> was discussed from RAN1#112</w:t>
      </w:r>
      <w:r w:rsidR="0039114D">
        <w:rPr>
          <w:rFonts w:ascii="Times New Roman" w:hAnsi="Times New Roman" w:cs="Times New Roman"/>
          <w:sz w:val="22"/>
        </w:rPr>
        <w:t xml:space="preserve"> which is the premise of other inter-subband CLI schemes.</w:t>
      </w:r>
      <w:r w:rsidR="00226010">
        <w:rPr>
          <w:rFonts w:ascii="Times New Roman" w:hAnsi="Times New Roman" w:cs="Times New Roman"/>
          <w:sz w:val="22"/>
        </w:rPr>
        <w:t xml:space="preserve"> Three methods were proposed in RAN1#112 and the </w:t>
      </w:r>
      <w:r w:rsidR="00226010" w:rsidRPr="00DF0796">
        <w:rPr>
          <w:rFonts w:ascii="Times New Roman" w:eastAsia="Malgun Gothic" w:hAnsi="Times New Roman" w:cs="Times New Roman"/>
          <w:sz w:val="22"/>
        </w:rPr>
        <w:t>necessity/</w:t>
      </w:r>
      <w:r w:rsidR="00226010">
        <w:rPr>
          <w:rFonts w:ascii="Times New Roman" w:hAnsi="Times New Roman" w:cs="Times New Roman"/>
          <w:sz w:val="22"/>
        </w:rPr>
        <w:t>benefit of Method 2 and Method 3 were discussed in the following meetings.</w:t>
      </w:r>
      <w:r w:rsidR="00C70D9D">
        <w:rPr>
          <w:rFonts w:ascii="Times New Roman" w:hAnsi="Times New Roman" w:cs="Times New Roman"/>
          <w:sz w:val="22"/>
        </w:rPr>
        <w:t xml:space="preserve"> But the detail measurement and reporting framework</w:t>
      </w:r>
      <w:r w:rsidR="00226010">
        <w:rPr>
          <w:rFonts w:ascii="Times New Roman" w:hAnsi="Times New Roman" w:cs="Times New Roman"/>
          <w:sz w:val="22"/>
        </w:rPr>
        <w:t xml:space="preserve"> </w:t>
      </w:r>
      <w:r w:rsidR="008D0581">
        <w:rPr>
          <w:rFonts w:ascii="Times New Roman" w:hAnsi="Times New Roman" w:cs="Times New Roman"/>
          <w:sz w:val="22"/>
        </w:rPr>
        <w:t>has not be fully discussed yet.</w:t>
      </w:r>
      <w:r w:rsidR="005B0545">
        <w:rPr>
          <w:rFonts w:ascii="Times New Roman" w:hAnsi="Times New Roman" w:cs="Times New Roman"/>
          <w:sz w:val="22"/>
        </w:rPr>
        <w:t xml:space="preserve"> Furthermore, </w:t>
      </w:r>
      <w:r w:rsidR="00D84389">
        <w:rPr>
          <w:rFonts w:ascii="Times New Roman" w:hAnsi="Times New Roman" w:cs="Times New Roman"/>
          <w:sz w:val="22"/>
        </w:rPr>
        <w:t xml:space="preserve">issues on </w:t>
      </w:r>
      <w:r w:rsidR="00D84389" w:rsidRPr="00D84389">
        <w:rPr>
          <w:rFonts w:ascii="Times New Roman" w:hAnsi="Times New Roman" w:cs="Times New Roman"/>
          <w:sz w:val="22"/>
        </w:rPr>
        <w:t xml:space="preserve">UE-to-UE CLI-RSSI measurement/report across downlink subbands </w:t>
      </w:r>
      <w:r w:rsidR="003A782D">
        <w:rPr>
          <w:rFonts w:ascii="Times New Roman" w:hAnsi="Times New Roman" w:cs="Times New Roman"/>
          <w:sz w:val="22"/>
        </w:rPr>
        <w:t xml:space="preserve">including support </w:t>
      </w:r>
      <w:r w:rsidR="00D84389">
        <w:rPr>
          <w:rFonts w:ascii="Times New Roman" w:hAnsi="Times New Roman" w:cs="Times New Roman"/>
          <w:sz w:val="22"/>
        </w:rPr>
        <w:t xml:space="preserve">non-contiguous CLI-RSSI resource allocation </w:t>
      </w:r>
      <w:r w:rsidR="003A782D">
        <w:rPr>
          <w:rFonts w:ascii="Times New Roman" w:hAnsi="Times New Roman" w:cs="Times New Roman"/>
          <w:sz w:val="22"/>
        </w:rPr>
        <w:t xml:space="preserve">or not </w:t>
      </w:r>
      <w:r w:rsidR="00D84389">
        <w:rPr>
          <w:rFonts w:ascii="Times New Roman" w:hAnsi="Times New Roman" w:cs="Times New Roman"/>
          <w:sz w:val="22"/>
        </w:rPr>
        <w:t>should also be taken into account in Rel-19.</w:t>
      </w:r>
    </w:p>
    <w:p w14:paraId="2094D908" w14:textId="43A153C2" w:rsidR="008839C7" w:rsidRDefault="008839C7" w:rsidP="00545678">
      <w:pPr>
        <w:spacing w:beforeLines="50" w:before="156"/>
        <w:rPr>
          <w:rFonts w:ascii="Times New Roman" w:hAnsi="Times New Roman"/>
          <w:b/>
          <w:i/>
          <w:sz w:val="22"/>
        </w:rPr>
      </w:pPr>
      <w:r w:rsidRPr="00545678">
        <w:rPr>
          <w:rFonts w:ascii="Times New Roman" w:hAnsi="Times New Roman"/>
          <w:b/>
          <w:i/>
          <w:sz w:val="22"/>
        </w:rPr>
        <w:t xml:space="preserve">Proposal </w:t>
      </w:r>
      <w:r w:rsidR="00D95BAB">
        <w:rPr>
          <w:rFonts w:ascii="Times New Roman" w:hAnsi="Times New Roman"/>
          <w:b/>
          <w:i/>
          <w:sz w:val="22"/>
        </w:rPr>
        <w:t>6</w:t>
      </w:r>
      <w:r>
        <w:rPr>
          <w:rFonts w:ascii="Times New Roman" w:hAnsi="Times New Roman"/>
          <w:b/>
          <w:i/>
          <w:sz w:val="22"/>
        </w:rPr>
        <w:t>:</w:t>
      </w:r>
      <w:r w:rsidR="004C75B6">
        <w:rPr>
          <w:rFonts w:ascii="Times New Roman" w:hAnsi="Times New Roman"/>
          <w:b/>
          <w:i/>
          <w:sz w:val="22"/>
        </w:rPr>
        <w:t xml:space="preserve"> </w:t>
      </w:r>
      <w:r w:rsidR="009C15ED">
        <w:rPr>
          <w:rFonts w:ascii="Times New Roman" w:hAnsi="Times New Roman"/>
          <w:b/>
          <w:i/>
          <w:sz w:val="22"/>
        </w:rPr>
        <w:t xml:space="preserve">For </w:t>
      </w:r>
      <w:r w:rsidR="009C15ED" w:rsidRPr="009C15ED">
        <w:rPr>
          <w:rFonts w:ascii="Times New Roman" w:hAnsi="Times New Roman"/>
          <w:b/>
          <w:i/>
          <w:sz w:val="22"/>
        </w:rPr>
        <w:t xml:space="preserve">enhancements for </w:t>
      </w:r>
      <w:r w:rsidR="009C15ED">
        <w:rPr>
          <w:rFonts w:ascii="Times New Roman" w:hAnsi="Times New Roman"/>
          <w:b/>
          <w:i/>
          <w:sz w:val="22"/>
        </w:rPr>
        <w:t xml:space="preserve">UE-to-UE </w:t>
      </w:r>
      <w:r w:rsidR="009C15ED" w:rsidRPr="009C15ED">
        <w:rPr>
          <w:rFonts w:ascii="Times New Roman" w:hAnsi="Times New Roman"/>
          <w:b/>
          <w:i/>
          <w:sz w:val="22"/>
        </w:rPr>
        <w:t>CLI handling</w:t>
      </w:r>
      <w:r w:rsidR="009C15ED">
        <w:rPr>
          <w:rFonts w:ascii="Times New Roman" w:hAnsi="Times New Roman"/>
          <w:b/>
          <w:i/>
          <w:sz w:val="22"/>
        </w:rPr>
        <w:t>,</w:t>
      </w:r>
      <w:r w:rsidR="009C15ED" w:rsidRPr="009C15ED">
        <w:rPr>
          <w:rFonts w:ascii="Times New Roman" w:hAnsi="Times New Roman"/>
          <w:b/>
          <w:i/>
          <w:sz w:val="22"/>
        </w:rPr>
        <w:t xml:space="preserve"> </w:t>
      </w:r>
      <w:r w:rsidR="009C15ED">
        <w:rPr>
          <w:rFonts w:ascii="Times New Roman" w:hAnsi="Times New Roman"/>
          <w:b/>
          <w:i/>
          <w:sz w:val="22"/>
        </w:rPr>
        <w:t>s</w:t>
      </w:r>
      <w:r w:rsidR="003332A9">
        <w:rPr>
          <w:rFonts w:ascii="Times New Roman" w:hAnsi="Times New Roman"/>
          <w:b/>
          <w:i/>
          <w:sz w:val="22"/>
        </w:rPr>
        <w:t xml:space="preserve">pecify </w:t>
      </w:r>
      <w:r w:rsidR="003332A9" w:rsidRPr="003332A9">
        <w:rPr>
          <w:rFonts w:ascii="Times New Roman" w:hAnsi="Times New Roman"/>
          <w:b/>
          <w:i/>
          <w:sz w:val="22"/>
        </w:rPr>
        <w:t>inter-UE inter-subband CLI measurement</w:t>
      </w:r>
      <w:r w:rsidR="009143FC">
        <w:rPr>
          <w:rFonts w:ascii="Times New Roman" w:hAnsi="Times New Roman"/>
          <w:b/>
          <w:i/>
          <w:sz w:val="22"/>
        </w:rPr>
        <w:t>/report</w:t>
      </w:r>
      <w:r w:rsidR="0066782D">
        <w:rPr>
          <w:rFonts w:ascii="Times New Roman" w:hAnsi="Times New Roman"/>
          <w:b/>
          <w:i/>
          <w:sz w:val="22"/>
        </w:rPr>
        <w:t>.</w:t>
      </w:r>
    </w:p>
    <w:p w14:paraId="6F9FCAD1" w14:textId="01A0A60A" w:rsidR="00AD0814" w:rsidRPr="00AD0814" w:rsidRDefault="00D74528" w:rsidP="00545678">
      <w:pPr>
        <w:spacing w:beforeLines="50" w:before="156"/>
        <w:rPr>
          <w:rFonts w:ascii="Times New Roman" w:hAnsi="Times New Roman"/>
          <w:sz w:val="22"/>
        </w:rPr>
      </w:pPr>
      <w:r>
        <w:rPr>
          <w:rFonts w:ascii="Times New Roman" w:hAnsi="Times New Roman"/>
          <w:sz w:val="22"/>
        </w:rPr>
        <w:lastRenderedPageBreak/>
        <w:t>There are two UE-to-UE CLI handling scheme</w:t>
      </w:r>
      <w:r w:rsidR="00840EEB">
        <w:rPr>
          <w:rFonts w:ascii="Times New Roman" w:hAnsi="Times New Roman"/>
          <w:sz w:val="22"/>
        </w:rPr>
        <w:t>s</w:t>
      </w:r>
      <w:r>
        <w:rPr>
          <w:rFonts w:ascii="Times New Roman" w:hAnsi="Times New Roman"/>
          <w:sz w:val="22"/>
        </w:rPr>
        <w:t xml:space="preserve"> simulated</w:t>
      </w:r>
      <w:r w:rsidRPr="00D74528">
        <w:rPr>
          <w:rFonts w:ascii="Times New Roman" w:hAnsi="Times New Roman"/>
          <w:sz w:val="22"/>
        </w:rPr>
        <w:t xml:space="preserve"> </w:t>
      </w:r>
      <w:r>
        <w:rPr>
          <w:rFonts w:ascii="Times New Roman" w:hAnsi="Times New Roman"/>
          <w:sz w:val="22"/>
        </w:rPr>
        <w:t>in SBFD case in TR38.858. The first scheme is c</w:t>
      </w:r>
      <w:r w:rsidR="00594CFF">
        <w:rPr>
          <w:rFonts w:ascii="Times New Roman" w:hAnsi="Times New Roman"/>
          <w:sz w:val="22"/>
        </w:rPr>
        <w:t xml:space="preserve">oordinated scheduling based on </w:t>
      </w:r>
      <w:r w:rsidR="00EB4C02">
        <w:rPr>
          <w:rFonts w:ascii="Times New Roman" w:hAnsi="Times New Roman"/>
          <w:sz w:val="22"/>
        </w:rPr>
        <w:t>L1</w:t>
      </w:r>
      <w:r w:rsidR="00523EBA">
        <w:rPr>
          <w:rFonts w:ascii="Times New Roman" w:hAnsi="Times New Roman"/>
          <w:sz w:val="22"/>
        </w:rPr>
        <w:t xml:space="preserve"> </w:t>
      </w:r>
      <w:r w:rsidR="00074199">
        <w:rPr>
          <w:rFonts w:ascii="Times New Roman" w:hAnsi="Times New Roman"/>
          <w:sz w:val="22"/>
        </w:rPr>
        <w:t>UE-to-UE CLI measurement and reporting</w:t>
      </w:r>
      <w:r w:rsidR="00377039">
        <w:rPr>
          <w:rFonts w:ascii="Times New Roman" w:hAnsi="Times New Roman"/>
          <w:sz w:val="22"/>
        </w:rPr>
        <w:t>.</w:t>
      </w:r>
      <w:r w:rsidR="00074199">
        <w:rPr>
          <w:rFonts w:ascii="Times New Roman" w:hAnsi="Times New Roman"/>
          <w:sz w:val="22"/>
        </w:rPr>
        <w:t xml:space="preserve"> </w:t>
      </w:r>
      <w:r w:rsidR="00B212C2" w:rsidRPr="00B212C2">
        <w:rPr>
          <w:rFonts w:ascii="Times New Roman" w:hAnsi="Times New Roman"/>
          <w:sz w:val="22"/>
        </w:rPr>
        <w:t>Based on the SLS r</w:t>
      </w:r>
      <w:r w:rsidR="00B212C2">
        <w:rPr>
          <w:rFonts w:ascii="Times New Roman" w:hAnsi="Times New Roman"/>
          <w:sz w:val="22"/>
        </w:rPr>
        <w:t xml:space="preserve">esults, it can be observed that </w:t>
      </w:r>
      <w:r w:rsidR="00B212C2" w:rsidRPr="00B212C2">
        <w:rPr>
          <w:rFonts w:ascii="Times New Roman" w:hAnsi="Times New Roman"/>
          <w:sz w:val="22"/>
        </w:rPr>
        <w:t>there a</w:t>
      </w:r>
      <w:r w:rsidR="00B212C2">
        <w:rPr>
          <w:rFonts w:ascii="Times New Roman" w:hAnsi="Times New Roman"/>
          <w:sz w:val="22"/>
        </w:rPr>
        <w:t>re no obvious benefits for L1</w:t>
      </w:r>
      <w:r w:rsidR="00B212C2" w:rsidRPr="00B212C2">
        <w:rPr>
          <w:rFonts w:ascii="Times New Roman" w:hAnsi="Times New Roman"/>
          <w:sz w:val="22"/>
        </w:rPr>
        <w:t xml:space="preserve"> measurement, compared with L3 measurement.</w:t>
      </w:r>
      <w:r w:rsidR="00B212C2">
        <w:rPr>
          <w:rFonts w:ascii="Times New Roman" w:hAnsi="Times New Roman"/>
          <w:sz w:val="22"/>
        </w:rPr>
        <w:t xml:space="preserve"> </w:t>
      </w:r>
      <w:r w:rsidR="00D02CA4">
        <w:rPr>
          <w:rFonts w:ascii="Times New Roman" w:hAnsi="Times New Roman"/>
          <w:sz w:val="22"/>
        </w:rPr>
        <w:t xml:space="preserve">Therefore, the motivation </w:t>
      </w:r>
      <w:r w:rsidR="00EA4843">
        <w:rPr>
          <w:rFonts w:ascii="Times New Roman" w:hAnsi="Times New Roman"/>
          <w:sz w:val="22"/>
        </w:rPr>
        <w:t>to specify</w:t>
      </w:r>
      <w:r w:rsidR="00D02CA4">
        <w:rPr>
          <w:rFonts w:ascii="Times New Roman" w:hAnsi="Times New Roman"/>
          <w:sz w:val="22"/>
        </w:rPr>
        <w:t xml:space="preserve"> L1 CLI measurement and reporting is not clear</w:t>
      </w:r>
      <w:r w:rsidR="00675D39">
        <w:rPr>
          <w:rFonts w:ascii="Times New Roman" w:hAnsi="Times New Roman"/>
          <w:sz w:val="22"/>
        </w:rPr>
        <w:t xml:space="preserve">ly </w:t>
      </w:r>
      <w:r w:rsidR="00047CC8">
        <w:rPr>
          <w:rFonts w:ascii="Times New Roman" w:hAnsi="Times New Roman"/>
          <w:sz w:val="22"/>
        </w:rPr>
        <w:t>identified</w:t>
      </w:r>
      <w:r w:rsidR="00D02CA4">
        <w:rPr>
          <w:rFonts w:ascii="Times New Roman" w:hAnsi="Times New Roman"/>
          <w:sz w:val="22"/>
        </w:rPr>
        <w:t xml:space="preserve">. </w:t>
      </w:r>
      <w:r w:rsidR="00840EEB">
        <w:rPr>
          <w:rFonts w:ascii="Times New Roman" w:hAnsi="Times New Roman"/>
          <w:sz w:val="22"/>
        </w:rPr>
        <w:t xml:space="preserve">In addition, there will be specification impacts on periodic, semi-persistent and aperiodic measurement resources definition and periodic, semi-persistent and aperiodic measurement reporting. Considering the limited TU, </w:t>
      </w:r>
      <w:r w:rsidR="008B2CCC">
        <w:rPr>
          <w:rFonts w:ascii="Times New Roman" w:hAnsi="Times New Roman"/>
          <w:sz w:val="22"/>
        </w:rPr>
        <w:t xml:space="preserve">it is not suitable to specify </w:t>
      </w:r>
      <w:r w:rsidR="00840EEB">
        <w:rPr>
          <w:rFonts w:ascii="Times New Roman" w:hAnsi="Times New Roman"/>
          <w:sz w:val="22"/>
        </w:rPr>
        <w:t xml:space="preserve">L1/L2 UE-to-UE CLI measurement and reporting. </w:t>
      </w:r>
      <w:r w:rsidR="00763B26">
        <w:rPr>
          <w:rFonts w:ascii="Times New Roman" w:hAnsi="Times New Roman"/>
          <w:sz w:val="22"/>
        </w:rPr>
        <w:t>The other scheme simulated in SBFD case is intra-cell coordinated scheduling, but there is no specification impact for this scheme.</w:t>
      </w:r>
    </w:p>
    <w:p w14:paraId="4E570347" w14:textId="53E2555F" w:rsidR="00D22D8A" w:rsidRDefault="007D33E6" w:rsidP="007D33E6">
      <w:pPr>
        <w:spacing w:beforeLines="50" w:before="156"/>
        <w:rPr>
          <w:rFonts w:ascii="Times New Roman" w:hAnsi="Times New Roman"/>
          <w:b/>
          <w:i/>
          <w:sz w:val="22"/>
        </w:rPr>
      </w:pPr>
      <w:r w:rsidRPr="00545678">
        <w:rPr>
          <w:rFonts w:ascii="Times New Roman" w:hAnsi="Times New Roman"/>
          <w:b/>
          <w:i/>
          <w:sz w:val="22"/>
        </w:rPr>
        <w:t xml:space="preserve">Proposal </w:t>
      </w:r>
      <w:r w:rsidR="00D95BAB">
        <w:rPr>
          <w:rFonts w:ascii="Times New Roman" w:hAnsi="Times New Roman"/>
          <w:b/>
          <w:i/>
          <w:sz w:val="22"/>
        </w:rPr>
        <w:t>7</w:t>
      </w:r>
      <w:r>
        <w:rPr>
          <w:rFonts w:ascii="Times New Roman" w:hAnsi="Times New Roman"/>
          <w:b/>
          <w:i/>
          <w:sz w:val="22"/>
        </w:rPr>
        <w:t xml:space="preserve">: </w:t>
      </w:r>
      <w:r w:rsidR="00047CC8">
        <w:rPr>
          <w:rFonts w:ascii="Times New Roman" w:hAnsi="Times New Roman"/>
          <w:b/>
          <w:i/>
          <w:sz w:val="22"/>
        </w:rPr>
        <w:t>L1/L2 UE-to-UE CLI measurement and reporting should not be taken into account in Rel-19 normative work.</w:t>
      </w:r>
    </w:p>
    <w:p w14:paraId="7053395D" w14:textId="77777777" w:rsidR="00CC2ACF" w:rsidRPr="000B6397" w:rsidRDefault="00CC2ACF" w:rsidP="00CC2ACF">
      <w:pPr>
        <w:pStyle w:val="1"/>
        <w:tabs>
          <w:tab w:val="num" w:pos="432"/>
        </w:tabs>
      </w:pPr>
      <w:r w:rsidRPr="000B6397">
        <w:t>Conclusion</w:t>
      </w:r>
    </w:p>
    <w:p w14:paraId="3978F027" w14:textId="7BDFA89B" w:rsidR="00C02EF1" w:rsidRDefault="00CC2ACF" w:rsidP="004A48CF">
      <w:pPr>
        <w:spacing w:beforeLines="50" w:before="156"/>
        <w:rPr>
          <w:rFonts w:ascii="Times New Roman" w:hAnsi="Times New Roman" w:cs="Times New Roman"/>
          <w:sz w:val="22"/>
        </w:rPr>
      </w:pPr>
      <w:r w:rsidRPr="00DB543E">
        <w:rPr>
          <w:rFonts w:ascii="Times New Roman" w:hAnsi="Times New Roman" w:cs="Times New Roman"/>
          <w:sz w:val="22"/>
        </w:rPr>
        <w:t xml:space="preserve">In this contribution, we </w:t>
      </w:r>
      <w:r w:rsidR="00C02EF1" w:rsidRPr="00DB543E">
        <w:rPr>
          <w:rFonts w:ascii="Times New Roman" w:hAnsi="Times New Roman" w:cs="Times New Roman"/>
          <w:sz w:val="22"/>
        </w:rPr>
        <w:t xml:space="preserve">discussed </w:t>
      </w:r>
      <w:r w:rsidR="007C627B">
        <w:rPr>
          <w:rFonts w:ascii="Times New Roman" w:hAnsi="Times New Roman" w:cs="Times New Roman"/>
          <w:sz w:val="22"/>
        </w:rPr>
        <w:t xml:space="preserve">the </w:t>
      </w:r>
      <w:r w:rsidR="00DD4286">
        <w:rPr>
          <w:rFonts w:ascii="Times New Roman" w:hAnsi="Times New Roman" w:cs="Times New Roman"/>
          <w:sz w:val="22"/>
        </w:rPr>
        <w:t xml:space="preserve">potential CLI handling schemes down-selected from TR38.858 for Rel-19 normative work. The </w:t>
      </w:r>
      <w:r w:rsidR="00C02EF1" w:rsidRPr="00DB543E">
        <w:rPr>
          <w:rFonts w:ascii="Times New Roman" w:hAnsi="Times New Roman" w:cs="Times New Roman"/>
          <w:sz w:val="22"/>
        </w:rPr>
        <w:t>proposals are given below:</w:t>
      </w:r>
    </w:p>
    <w:p w14:paraId="564C9805" w14:textId="77777777" w:rsidR="00DD4286" w:rsidRDefault="00DD4286" w:rsidP="00DD4286">
      <w:pPr>
        <w:spacing w:beforeLines="50" w:before="156" w:afterLines="50" w:after="156"/>
        <w:rPr>
          <w:rFonts w:ascii="Times New Roman" w:hAnsi="Times New Roman"/>
          <w:b/>
          <w:i/>
          <w:sz w:val="22"/>
        </w:rPr>
      </w:pPr>
      <w:r w:rsidRPr="00C52744">
        <w:rPr>
          <w:rFonts w:ascii="Times New Roman" w:hAnsi="Times New Roman"/>
          <w:b/>
          <w:i/>
          <w:sz w:val="22"/>
        </w:rPr>
        <w:t xml:space="preserve">Proposal 1: </w:t>
      </w:r>
      <w:r>
        <w:rPr>
          <w:rFonts w:ascii="Times New Roman" w:hAnsi="Times New Roman"/>
          <w:b/>
          <w:i/>
          <w:sz w:val="22"/>
        </w:rPr>
        <w:t>E</w:t>
      </w:r>
      <w:r w:rsidRPr="00C52744">
        <w:rPr>
          <w:rFonts w:ascii="Times New Roman" w:hAnsi="Times New Roman"/>
          <w:b/>
          <w:i/>
          <w:sz w:val="22"/>
        </w:rPr>
        <w:t>nhancements for CLI handling should be focused on CLI</w:t>
      </w:r>
      <w:r>
        <w:rPr>
          <w:rFonts w:ascii="Times New Roman" w:hAnsi="Times New Roman"/>
          <w:b/>
          <w:i/>
          <w:sz w:val="22"/>
        </w:rPr>
        <w:t xml:space="preserve"> handling schemes for SBFD operation.</w:t>
      </w:r>
    </w:p>
    <w:p w14:paraId="6CB64B74" w14:textId="3ABF1FC7" w:rsidR="00DD4286" w:rsidRDefault="00DD4286" w:rsidP="00DD4286">
      <w:pPr>
        <w:spacing w:beforeLines="50" w:before="156" w:afterLines="50" w:after="156"/>
        <w:rPr>
          <w:rFonts w:ascii="Times New Roman" w:hAnsi="Times New Roman"/>
          <w:b/>
          <w:i/>
          <w:sz w:val="22"/>
        </w:rPr>
      </w:pPr>
      <w:r w:rsidRPr="00C52744">
        <w:rPr>
          <w:rFonts w:ascii="Times New Roman" w:hAnsi="Times New Roman"/>
          <w:b/>
          <w:i/>
          <w:sz w:val="22"/>
        </w:rPr>
        <w:t xml:space="preserve">Proposal </w:t>
      </w:r>
      <w:r>
        <w:rPr>
          <w:rFonts w:ascii="Times New Roman" w:hAnsi="Times New Roman"/>
          <w:b/>
          <w:i/>
          <w:sz w:val="22"/>
        </w:rPr>
        <w:t>2</w:t>
      </w:r>
      <w:r w:rsidRPr="00C52744">
        <w:rPr>
          <w:rFonts w:ascii="Times New Roman" w:hAnsi="Times New Roman"/>
          <w:b/>
          <w:i/>
          <w:sz w:val="22"/>
        </w:rPr>
        <w:t xml:space="preserve">: </w:t>
      </w:r>
      <w:r>
        <w:rPr>
          <w:rFonts w:ascii="Times New Roman" w:hAnsi="Times New Roman"/>
          <w:b/>
          <w:i/>
          <w:sz w:val="22"/>
        </w:rPr>
        <w:t>Down select from CLI handling schemes that provided simulation results for SBFD cases.</w:t>
      </w:r>
    </w:p>
    <w:p w14:paraId="2A8E4650" w14:textId="77777777" w:rsidR="004621EF" w:rsidRPr="005464AB" w:rsidRDefault="004621EF" w:rsidP="004621EF">
      <w:pPr>
        <w:spacing w:beforeLines="50" w:before="156" w:afterLines="50" w:after="156"/>
        <w:rPr>
          <w:rFonts w:ascii="Times New Roman" w:hAnsi="Times New Roman"/>
          <w:b/>
          <w:i/>
          <w:sz w:val="22"/>
        </w:rPr>
      </w:pPr>
      <w:r w:rsidRPr="00C52744">
        <w:rPr>
          <w:rFonts w:ascii="Times New Roman" w:hAnsi="Times New Roman"/>
          <w:b/>
          <w:i/>
          <w:sz w:val="22"/>
        </w:rPr>
        <w:t xml:space="preserve">Proposal </w:t>
      </w:r>
      <w:r>
        <w:rPr>
          <w:rFonts w:ascii="Times New Roman" w:hAnsi="Times New Roman"/>
          <w:b/>
          <w:i/>
          <w:sz w:val="22"/>
        </w:rPr>
        <w:t>3</w:t>
      </w:r>
      <w:r w:rsidRPr="00C52744">
        <w:rPr>
          <w:rFonts w:ascii="Times New Roman" w:hAnsi="Times New Roman"/>
          <w:b/>
          <w:i/>
          <w:sz w:val="22"/>
        </w:rPr>
        <w:t xml:space="preserve">: </w:t>
      </w:r>
      <w:r>
        <w:rPr>
          <w:rFonts w:ascii="Times New Roman" w:hAnsi="Times New Roman"/>
          <w:b/>
          <w:i/>
          <w:sz w:val="22"/>
        </w:rPr>
        <w:t>Updated simulation results of CLI schemes in TR38.858 for SBFD cases should be provided by RAN1#116-bis.</w:t>
      </w:r>
    </w:p>
    <w:p w14:paraId="070562BE" w14:textId="7916DB2D" w:rsidR="00DD4286" w:rsidRDefault="00DD4286" w:rsidP="00DD4286">
      <w:pPr>
        <w:spacing w:beforeLines="50" w:before="156" w:afterLines="50" w:after="156"/>
        <w:rPr>
          <w:rFonts w:ascii="Times New Roman" w:hAnsi="Times New Roman" w:cs="Times New Roman"/>
          <w:sz w:val="22"/>
        </w:rPr>
      </w:pPr>
      <w:r w:rsidRPr="00275493">
        <w:rPr>
          <w:rFonts w:ascii="Times New Roman" w:hAnsi="Times New Roman" w:hint="eastAsia"/>
          <w:b/>
          <w:i/>
          <w:sz w:val="22"/>
        </w:rPr>
        <w:t>Proposal</w:t>
      </w:r>
      <w:r>
        <w:rPr>
          <w:rFonts w:ascii="Times New Roman" w:hAnsi="Times New Roman"/>
          <w:b/>
          <w:i/>
          <w:sz w:val="22"/>
        </w:rPr>
        <w:t xml:space="preserve"> </w:t>
      </w:r>
      <w:r w:rsidR="00F906A6">
        <w:rPr>
          <w:rFonts w:ascii="Times New Roman" w:hAnsi="Times New Roman"/>
          <w:b/>
          <w:i/>
          <w:sz w:val="22"/>
        </w:rPr>
        <w:t>4</w:t>
      </w:r>
      <w:r>
        <w:rPr>
          <w:rFonts w:ascii="Times New Roman" w:hAnsi="Times New Roman"/>
          <w:b/>
          <w:i/>
          <w:sz w:val="22"/>
        </w:rPr>
        <w:t>: For enhancements for gNB-to-gNB CLI handling, s</w:t>
      </w:r>
      <w:r w:rsidRPr="00E76E7B">
        <w:rPr>
          <w:rFonts w:ascii="Times New Roman" w:hAnsi="Times New Roman"/>
          <w:b/>
          <w:i/>
          <w:sz w:val="22"/>
        </w:rPr>
        <w:t xml:space="preserve">patial </w:t>
      </w:r>
      <w:r>
        <w:rPr>
          <w:rFonts w:ascii="Times New Roman" w:hAnsi="Times New Roman"/>
          <w:b/>
          <w:i/>
          <w:sz w:val="22"/>
        </w:rPr>
        <w:t>d</w:t>
      </w:r>
      <w:r w:rsidRPr="00E76E7B">
        <w:rPr>
          <w:rFonts w:ascii="Times New Roman" w:hAnsi="Times New Roman"/>
          <w:b/>
          <w:i/>
          <w:sz w:val="22"/>
        </w:rPr>
        <w:t xml:space="preserve">omain </w:t>
      </w:r>
      <w:r>
        <w:rPr>
          <w:rFonts w:ascii="Times New Roman" w:hAnsi="Times New Roman"/>
          <w:b/>
          <w:i/>
          <w:sz w:val="22"/>
        </w:rPr>
        <w:t>c</w:t>
      </w:r>
      <w:r w:rsidRPr="00E76E7B">
        <w:rPr>
          <w:rFonts w:ascii="Times New Roman" w:hAnsi="Times New Roman"/>
          <w:b/>
          <w:i/>
          <w:sz w:val="22"/>
        </w:rPr>
        <w:t xml:space="preserve">oordination </w:t>
      </w:r>
      <w:r>
        <w:rPr>
          <w:rFonts w:ascii="Times New Roman" w:hAnsi="Times New Roman"/>
          <w:b/>
          <w:i/>
          <w:sz w:val="22"/>
        </w:rPr>
        <w:t>s</w:t>
      </w:r>
      <w:r w:rsidRPr="00E76E7B">
        <w:rPr>
          <w:rFonts w:ascii="Times New Roman" w:hAnsi="Times New Roman"/>
          <w:b/>
          <w:i/>
          <w:sz w:val="22"/>
        </w:rPr>
        <w:t xml:space="preserve">cheme for gNB Tx-Beam </w:t>
      </w:r>
      <w:r>
        <w:rPr>
          <w:rFonts w:ascii="Times New Roman" w:hAnsi="Times New Roman"/>
          <w:b/>
          <w:i/>
          <w:sz w:val="22"/>
        </w:rPr>
        <w:t>n</w:t>
      </w:r>
      <w:r w:rsidRPr="00E76E7B">
        <w:rPr>
          <w:rFonts w:ascii="Times New Roman" w:hAnsi="Times New Roman"/>
          <w:b/>
          <w:i/>
          <w:sz w:val="22"/>
        </w:rPr>
        <w:t>ulling</w:t>
      </w:r>
      <w:r w:rsidR="00230D6B">
        <w:rPr>
          <w:rFonts w:ascii="Times New Roman" w:hAnsi="Times New Roman"/>
          <w:b/>
          <w:i/>
          <w:sz w:val="22"/>
        </w:rPr>
        <w:t xml:space="preserve"> can be specified</w:t>
      </w:r>
      <w:r>
        <w:rPr>
          <w:rFonts w:ascii="Times New Roman" w:hAnsi="Times New Roman"/>
          <w:b/>
          <w:i/>
          <w:sz w:val="22"/>
        </w:rPr>
        <w:t>.</w:t>
      </w:r>
    </w:p>
    <w:p w14:paraId="7A719B94" w14:textId="77777777" w:rsidR="002C0007" w:rsidRDefault="002C0007" w:rsidP="002C0007">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5: For enhancements for gNB-to-gNB CLI handling,</w:t>
      </w:r>
      <w:r w:rsidRPr="007E574D">
        <w:rPr>
          <w:rFonts w:ascii="Times New Roman" w:hAnsi="Times New Roman"/>
          <w:b/>
          <w:i/>
          <w:sz w:val="22"/>
        </w:rPr>
        <w:t xml:space="preserve"> </w:t>
      </w:r>
      <w:r>
        <w:rPr>
          <w:rFonts w:ascii="Times New Roman" w:hAnsi="Times New Roman"/>
          <w:b/>
          <w:i/>
          <w:sz w:val="22"/>
        </w:rPr>
        <w:t xml:space="preserve">the benefit to specify </w:t>
      </w:r>
      <w:r w:rsidRPr="007E574D">
        <w:rPr>
          <w:rFonts w:ascii="Times New Roman" w:hAnsi="Times New Roman"/>
          <w:b/>
          <w:i/>
          <w:sz w:val="22"/>
        </w:rPr>
        <w:t>UL Resource Muting-based scheme for measuring the gNB-to-gNB CLI interference covariance matrix</w:t>
      </w:r>
      <w:r>
        <w:rPr>
          <w:rFonts w:ascii="Times New Roman" w:hAnsi="Times New Roman"/>
          <w:b/>
          <w:i/>
          <w:sz w:val="22"/>
        </w:rPr>
        <w:t xml:space="preserve"> should be justified.</w:t>
      </w:r>
    </w:p>
    <w:p w14:paraId="6BDF836A" w14:textId="61EB4550" w:rsidR="00DD4286" w:rsidRDefault="00DD4286" w:rsidP="00DD4286">
      <w:pPr>
        <w:spacing w:beforeLines="50" w:before="156"/>
        <w:rPr>
          <w:rFonts w:ascii="Times New Roman" w:hAnsi="Times New Roman"/>
          <w:b/>
          <w:i/>
          <w:sz w:val="22"/>
        </w:rPr>
      </w:pPr>
      <w:r w:rsidRPr="00545678">
        <w:rPr>
          <w:rFonts w:ascii="Times New Roman" w:hAnsi="Times New Roman"/>
          <w:b/>
          <w:i/>
          <w:sz w:val="22"/>
        </w:rPr>
        <w:t xml:space="preserve">Proposal </w:t>
      </w:r>
      <w:r w:rsidR="00F906A6">
        <w:rPr>
          <w:rFonts w:ascii="Times New Roman" w:hAnsi="Times New Roman"/>
          <w:b/>
          <w:i/>
          <w:sz w:val="22"/>
        </w:rPr>
        <w:t>6</w:t>
      </w:r>
      <w:r>
        <w:rPr>
          <w:rFonts w:ascii="Times New Roman" w:hAnsi="Times New Roman"/>
          <w:b/>
          <w:i/>
          <w:sz w:val="22"/>
        </w:rPr>
        <w:t xml:space="preserve">: For </w:t>
      </w:r>
      <w:r w:rsidRPr="009C15ED">
        <w:rPr>
          <w:rFonts w:ascii="Times New Roman" w:hAnsi="Times New Roman"/>
          <w:b/>
          <w:i/>
          <w:sz w:val="22"/>
        </w:rPr>
        <w:t xml:space="preserve">enhancements for </w:t>
      </w:r>
      <w:r>
        <w:rPr>
          <w:rFonts w:ascii="Times New Roman" w:hAnsi="Times New Roman"/>
          <w:b/>
          <w:i/>
          <w:sz w:val="22"/>
        </w:rPr>
        <w:t xml:space="preserve">UE-to-UE </w:t>
      </w:r>
      <w:r w:rsidRPr="009C15ED">
        <w:rPr>
          <w:rFonts w:ascii="Times New Roman" w:hAnsi="Times New Roman"/>
          <w:b/>
          <w:i/>
          <w:sz w:val="22"/>
        </w:rPr>
        <w:t>CLI handling</w:t>
      </w:r>
      <w:r>
        <w:rPr>
          <w:rFonts w:ascii="Times New Roman" w:hAnsi="Times New Roman"/>
          <w:b/>
          <w:i/>
          <w:sz w:val="22"/>
        </w:rPr>
        <w:t>,</w:t>
      </w:r>
      <w:r w:rsidRPr="009C15ED">
        <w:rPr>
          <w:rFonts w:ascii="Times New Roman" w:hAnsi="Times New Roman"/>
          <w:b/>
          <w:i/>
          <w:sz w:val="22"/>
        </w:rPr>
        <w:t xml:space="preserve"> </w:t>
      </w:r>
      <w:r>
        <w:rPr>
          <w:rFonts w:ascii="Times New Roman" w:hAnsi="Times New Roman"/>
          <w:b/>
          <w:i/>
          <w:sz w:val="22"/>
        </w:rPr>
        <w:t xml:space="preserve">specify </w:t>
      </w:r>
      <w:r w:rsidRPr="003332A9">
        <w:rPr>
          <w:rFonts w:ascii="Times New Roman" w:hAnsi="Times New Roman"/>
          <w:b/>
          <w:i/>
          <w:sz w:val="22"/>
        </w:rPr>
        <w:t>inter-UE inter-subband CLI measurement</w:t>
      </w:r>
      <w:r>
        <w:rPr>
          <w:rFonts w:ascii="Times New Roman" w:hAnsi="Times New Roman"/>
          <w:b/>
          <w:i/>
          <w:sz w:val="22"/>
        </w:rPr>
        <w:t>/report.</w:t>
      </w:r>
    </w:p>
    <w:p w14:paraId="6FD5C945" w14:textId="36DEE9CA" w:rsidR="00113725" w:rsidRDefault="00DD4286" w:rsidP="00113725">
      <w:pPr>
        <w:spacing w:beforeLines="50" w:before="156"/>
        <w:rPr>
          <w:rFonts w:ascii="Times New Roman" w:hAnsi="Times New Roman"/>
          <w:b/>
          <w:i/>
          <w:sz w:val="22"/>
        </w:rPr>
      </w:pPr>
      <w:r w:rsidRPr="00545678">
        <w:rPr>
          <w:rFonts w:ascii="Times New Roman" w:hAnsi="Times New Roman"/>
          <w:b/>
          <w:i/>
          <w:sz w:val="22"/>
        </w:rPr>
        <w:t xml:space="preserve">Proposal </w:t>
      </w:r>
      <w:r w:rsidR="00F906A6">
        <w:rPr>
          <w:rFonts w:ascii="Times New Roman" w:hAnsi="Times New Roman"/>
          <w:b/>
          <w:i/>
          <w:sz w:val="22"/>
        </w:rPr>
        <w:t>7</w:t>
      </w:r>
      <w:r>
        <w:rPr>
          <w:rFonts w:ascii="Times New Roman" w:hAnsi="Times New Roman"/>
          <w:b/>
          <w:i/>
          <w:sz w:val="22"/>
        </w:rPr>
        <w:t>: L1/L2 UE-to-UE CLI measurement and reporting should not be taken into account in Rel-19 normative work.</w:t>
      </w:r>
    </w:p>
    <w:p w14:paraId="280FE3C1" w14:textId="77777777" w:rsidR="002B0936" w:rsidRPr="00DD4286" w:rsidRDefault="002B0936" w:rsidP="00113725">
      <w:pPr>
        <w:spacing w:beforeLines="50" w:before="156"/>
        <w:rPr>
          <w:rFonts w:ascii="Times New Roman" w:hAnsi="Times New Roman"/>
          <w:b/>
          <w:i/>
          <w:sz w:val="22"/>
        </w:rPr>
      </w:pPr>
    </w:p>
    <w:p w14:paraId="75E13FD9" w14:textId="77777777" w:rsidR="00CC2ACF" w:rsidRDefault="00CC2ACF" w:rsidP="00CC2ACF">
      <w:pPr>
        <w:pStyle w:val="1"/>
        <w:numPr>
          <w:ilvl w:val="0"/>
          <w:numId w:val="0"/>
        </w:numPr>
      </w:pPr>
      <w:r w:rsidRPr="000B6397">
        <w:t>References</w:t>
      </w:r>
    </w:p>
    <w:p w14:paraId="5D5B5AD8" w14:textId="6E576FF9" w:rsidR="0025211E" w:rsidRPr="00334A44" w:rsidRDefault="00334A44" w:rsidP="00334A44">
      <w:pPr>
        <w:pStyle w:val="a3"/>
        <w:widowControl/>
        <w:numPr>
          <w:ilvl w:val="0"/>
          <w:numId w:val="10"/>
        </w:numPr>
        <w:ind w:firstLineChars="0"/>
        <w:jc w:val="left"/>
        <w:rPr>
          <w:rFonts w:ascii="Times New Roman" w:hAnsi="Times New Roman" w:cs="Times New Roman"/>
          <w:sz w:val="22"/>
        </w:rPr>
      </w:pPr>
      <w:r w:rsidRPr="00334A44">
        <w:rPr>
          <w:rFonts w:ascii="Times New Roman" w:hAnsi="Times New Roman" w:cs="Times New Roman"/>
          <w:sz w:val="22"/>
        </w:rPr>
        <w:t>TR 38.</w:t>
      </w:r>
      <w:r w:rsidRPr="00334A44">
        <w:rPr>
          <w:rFonts w:ascii="Times New Roman" w:hAnsi="Times New Roman" w:cs="Times New Roman" w:hint="eastAsia"/>
          <w:sz w:val="22"/>
        </w:rPr>
        <w:t>858</w:t>
      </w:r>
      <w:r w:rsidRPr="00334A44">
        <w:rPr>
          <w:rFonts w:ascii="Times New Roman" w:hAnsi="Times New Roman" w:cs="Times New Roman"/>
          <w:sz w:val="22"/>
        </w:rPr>
        <w:t>v2.0, Study on Evolution of NR Duplex Operation</w:t>
      </w:r>
      <w:r w:rsidRPr="00334A44">
        <w:rPr>
          <w:rFonts w:ascii="Times New Roman" w:hAnsi="Times New Roman"/>
          <w:sz w:val="22"/>
        </w:rPr>
        <w:t xml:space="preserve"> </w:t>
      </w:r>
    </w:p>
    <w:p w14:paraId="7E138686" w14:textId="7F493A48" w:rsidR="00AA4791" w:rsidRPr="00AD68F2" w:rsidRDefault="00FB7CC2" w:rsidP="00334A44">
      <w:pPr>
        <w:pStyle w:val="a3"/>
        <w:widowControl/>
        <w:numPr>
          <w:ilvl w:val="0"/>
          <w:numId w:val="10"/>
        </w:numPr>
        <w:ind w:firstLineChars="0"/>
        <w:jc w:val="left"/>
        <w:rPr>
          <w:rFonts w:ascii="Times New Roman" w:hAnsi="Times New Roman"/>
          <w:sz w:val="22"/>
        </w:rPr>
      </w:pPr>
      <w:bookmarkStart w:id="4" w:name="_Ref134260775"/>
      <w:r w:rsidRPr="00660F4E">
        <w:rPr>
          <w:rFonts w:ascii="Times New Roman" w:hAnsi="Times New Roman" w:cs="Times New Roman"/>
          <w:sz w:val="22"/>
        </w:rPr>
        <w:t>RP-2</w:t>
      </w:r>
      <w:r>
        <w:rPr>
          <w:rFonts w:ascii="Times New Roman" w:hAnsi="Times New Roman" w:cs="Times New Roman" w:hint="eastAsia"/>
          <w:sz w:val="22"/>
        </w:rPr>
        <w:t>34035</w:t>
      </w:r>
      <w:r w:rsidRPr="00660F4E">
        <w:rPr>
          <w:rFonts w:ascii="Times New Roman" w:hAnsi="Times New Roman" w:cs="Times New Roman"/>
          <w:sz w:val="22"/>
        </w:rPr>
        <w:t xml:space="preserve">, </w:t>
      </w:r>
      <w:r w:rsidRPr="00FB7CC2">
        <w:rPr>
          <w:rFonts w:ascii="Times New Roman" w:hAnsi="Times New Roman" w:cs="Times New Roman"/>
          <w:sz w:val="22"/>
        </w:rPr>
        <w:t>New WID: Evolution of NR duplex operation: Sub-band full duplex (SBFD)</w:t>
      </w:r>
      <w:r w:rsidRPr="00660F4E">
        <w:rPr>
          <w:rFonts w:ascii="Times New Roman" w:hAnsi="Times New Roman" w:cs="Times New Roman"/>
          <w:sz w:val="22"/>
        </w:rPr>
        <w:t>, CMCC, RAN#</w:t>
      </w:r>
      <w:r>
        <w:rPr>
          <w:rFonts w:ascii="Times New Roman" w:hAnsi="Times New Roman" w:cs="Times New Roman" w:hint="eastAsia"/>
          <w:sz w:val="22"/>
        </w:rPr>
        <w:t>102</w:t>
      </w:r>
      <w:r w:rsidRPr="00660F4E">
        <w:rPr>
          <w:rFonts w:ascii="Times New Roman" w:hAnsi="Times New Roman" w:cs="Times New Roman"/>
          <w:sz w:val="22"/>
        </w:rPr>
        <w:t xml:space="preserve">, December </w:t>
      </w:r>
      <w:r>
        <w:rPr>
          <w:rFonts w:ascii="Times New Roman" w:hAnsi="Times New Roman" w:cs="Times New Roman" w:hint="eastAsia"/>
          <w:sz w:val="22"/>
        </w:rPr>
        <w:t>11</w:t>
      </w:r>
      <w:r w:rsidRPr="00660F4E">
        <w:rPr>
          <w:rFonts w:ascii="Times New Roman" w:hAnsi="Times New Roman" w:cs="Times New Roman"/>
          <w:sz w:val="22"/>
        </w:rPr>
        <w:t>-1</w:t>
      </w:r>
      <w:r>
        <w:rPr>
          <w:rFonts w:ascii="Times New Roman" w:hAnsi="Times New Roman" w:cs="Times New Roman" w:hint="eastAsia"/>
          <w:sz w:val="22"/>
        </w:rPr>
        <w:t>5</w:t>
      </w:r>
      <w:r w:rsidRPr="00660F4E">
        <w:rPr>
          <w:rFonts w:ascii="Times New Roman" w:hAnsi="Times New Roman" w:cs="Times New Roman"/>
          <w:sz w:val="22"/>
        </w:rPr>
        <w:t>, 202</w:t>
      </w:r>
      <w:bookmarkEnd w:id="4"/>
      <w:r>
        <w:rPr>
          <w:rFonts w:ascii="Times New Roman" w:hAnsi="Times New Roman" w:cs="Times New Roman" w:hint="eastAsia"/>
          <w:sz w:val="22"/>
        </w:rPr>
        <w:t>3</w:t>
      </w:r>
      <w:bookmarkStart w:id="5" w:name="_Ref131153250"/>
      <w:r w:rsidR="00334A44" w:rsidRPr="00AD68F2">
        <w:rPr>
          <w:rFonts w:ascii="Times New Roman" w:hAnsi="Times New Roman"/>
          <w:sz w:val="22"/>
        </w:rPr>
        <w:t xml:space="preserve"> </w:t>
      </w:r>
      <w:bookmarkEnd w:id="5"/>
    </w:p>
    <w:sectPr w:rsidR="00AA4791" w:rsidRPr="00AD68F2"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2F2CA" w14:textId="77777777" w:rsidR="00064701" w:rsidRDefault="00064701" w:rsidP="00681E80">
      <w:r>
        <w:separator/>
      </w:r>
    </w:p>
  </w:endnote>
  <w:endnote w:type="continuationSeparator" w:id="0">
    <w:p w14:paraId="67691AA7" w14:textId="77777777" w:rsidR="00064701" w:rsidRDefault="00064701"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D9A3E" w14:textId="77777777" w:rsidR="00064701" w:rsidRDefault="00064701" w:rsidP="00681E80">
      <w:r>
        <w:separator/>
      </w:r>
    </w:p>
  </w:footnote>
  <w:footnote w:type="continuationSeparator" w:id="0">
    <w:p w14:paraId="0EDE2B49" w14:textId="77777777" w:rsidR="00064701" w:rsidRDefault="00064701"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C2644C"/>
    <w:multiLevelType w:val="hybridMultilevel"/>
    <w:tmpl w:val="FFD6458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14A946E4"/>
    <w:multiLevelType w:val="hybridMultilevel"/>
    <w:tmpl w:val="D132EE7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9433F"/>
    <w:multiLevelType w:val="multilevel"/>
    <w:tmpl w:val="F98623F4"/>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14101FC"/>
    <w:multiLevelType w:val="hybridMultilevel"/>
    <w:tmpl w:val="8422A694"/>
    <w:lvl w:ilvl="0" w:tplc="9CF6244A">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6B2F14"/>
    <w:multiLevelType w:val="hybridMultilevel"/>
    <w:tmpl w:val="B95EF260"/>
    <w:lvl w:ilvl="0" w:tplc="0E20658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29BA7D0C"/>
    <w:multiLevelType w:val="hybridMultilevel"/>
    <w:tmpl w:val="FE92E006"/>
    <w:lvl w:ilvl="0" w:tplc="C714D34A">
      <w:start w:val="1"/>
      <w:numFmt w:val="bullet"/>
      <w:lvlText w:val=""/>
      <w:lvlJc w:val="left"/>
      <w:pPr>
        <w:tabs>
          <w:tab w:val="num" w:pos="720"/>
        </w:tabs>
        <w:ind w:left="720" w:hanging="360"/>
      </w:pPr>
      <w:rPr>
        <w:rFonts w:ascii="Wingdings" w:hAnsi="Wingdings" w:hint="default"/>
      </w:rPr>
    </w:lvl>
    <w:lvl w:ilvl="1" w:tplc="59240CCC">
      <w:start w:val="91"/>
      <w:numFmt w:val="bullet"/>
      <w:lvlText w:val=""/>
      <w:lvlJc w:val="left"/>
      <w:pPr>
        <w:tabs>
          <w:tab w:val="num" w:pos="1440"/>
        </w:tabs>
        <w:ind w:left="1440" w:hanging="360"/>
      </w:pPr>
      <w:rPr>
        <w:rFonts w:ascii="Wingdings" w:hAnsi="Wingdings" w:hint="default"/>
      </w:rPr>
    </w:lvl>
    <w:lvl w:ilvl="2" w:tplc="303CCBE6">
      <w:start w:val="91"/>
      <w:numFmt w:val="bullet"/>
      <w:lvlText w:val=""/>
      <w:lvlJc w:val="left"/>
      <w:pPr>
        <w:tabs>
          <w:tab w:val="num" w:pos="2160"/>
        </w:tabs>
        <w:ind w:left="2160" w:hanging="360"/>
      </w:pPr>
      <w:rPr>
        <w:rFonts w:ascii="Wingdings" w:hAnsi="Wingdings" w:hint="default"/>
      </w:rPr>
    </w:lvl>
    <w:lvl w:ilvl="3" w:tplc="E21E2544" w:tentative="1">
      <w:start w:val="1"/>
      <w:numFmt w:val="bullet"/>
      <w:lvlText w:val=""/>
      <w:lvlJc w:val="left"/>
      <w:pPr>
        <w:tabs>
          <w:tab w:val="num" w:pos="2880"/>
        </w:tabs>
        <w:ind w:left="2880" w:hanging="360"/>
      </w:pPr>
      <w:rPr>
        <w:rFonts w:ascii="Wingdings" w:hAnsi="Wingdings" w:hint="default"/>
      </w:rPr>
    </w:lvl>
    <w:lvl w:ilvl="4" w:tplc="E7BA8BE0" w:tentative="1">
      <w:start w:val="1"/>
      <w:numFmt w:val="bullet"/>
      <w:lvlText w:val=""/>
      <w:lvlJc w:val="left"/>
      <w:pPr>
        <w:tabs>
          <w:tab w:val="num" w:pos="3600"/>
        </w:tabs>
        <w:ind w:left="3600" w:hanging="360"/>
      </w:pPr>
      <w:rPr>
        <w:rFonts w:ascii="Wingdings" w:hAnsi="Wingdings" w:hint="default"/>
      </w:rPr>
    </w:lvl>
    <w:lvl w:ilvl="5" w:tplc="B218EE6A" w:tentative="1">
      <w:start w:val="1"/>
      <w:numFmt w:val="bullet"/>
      <w:lvlText w:val=""/>
      <w:lvlJc w:val="left"/>
      <w:pPr>
        <w:tabs>
          <w:tab w:val="num" w:pos="4320"/>
        </w:tabs>
        <w:ind w:left="4320" w:hanging="360"/>
      </w:pPr>
      <w:rPr>
        <w:rFonts w:ascii="Wingdings" w:hAnsi="Wingdings" w:hint="default"/>
      </w:rPr>
    </w:lvl>
    <w:lvl w:ilvl="6" w:tplc="F8A0A216" w:tentative="1">
      <w:start w:val="1"/>
      <w:numFmt w:val="bullet"/>
      <w:lvlText w:val=""/>
      <w:lvlJc w:val="left"/>
      <w:pPr>
        <w:tabs>
          <w:tab w:val="num" w:pos="5040"/>
        </w:tabs>
        <w:ind w:left="5040" w:hanging="360"/>
      </w:pPr>
      <w:rPr>
        <w:rFonts w:ascii="Wingdings" w:hAnsi="Wingdings" w:hint="default"/>
      </w:rPr>
    </w:lvl>
    <w:lvl w:ilvl="7" w:tplc="D5B2C870" w:tentative="1">
      <w:start w:val="1"/>
      <w:numFmt w:val="bullet"/>
      <w:lvlText w:val=""/>
      <w:lvlJc w:val="left"/>
      <w:pPr>
        <w:tabs>
          <w:tab w:val="num" w:pos="5760"/>
        </w:tabs>
        <w:ind w:left="5760" w:hanging="360"/>
      </w:pPr>
      <w:rPr>
        <w:rFonts w:ascii="Wingdings" w:hAnsi="Wingdings" w:hint="default"/>
      </w:rPr>
    </w:lvl>
    <w:lvl w:ilvl="8" w:tplc="078AB8C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583479"/>
    <w:multiLevelType w:val="hybridMultilevel"/>
    <w:tmpl w:val="A63CF656"/>
    <w:lvl w:ilvl="0" w:tplc="79623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2CB5044"/>
    <w:multiLevelType w:val="hybridMultilevel"/>
    <w:tmpl w:val="0D90D028"/>
    <w:lvl w:ilvl="0" w:tplc="2542BFE2">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94A01EA"/>
    <w:multiLevelType w:val="hybridMultilevel"/>
    <w:tmpl w:val="3B08FDCE"/>
    <w:lvl w:ilvl="0" w:tplc="E3B6836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E11484"/>
    <w:multiLevelType w:val="hybridMultilevel"/>
    <w:tmpl w:val="20A269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4EB35C86"/>
    <w:multiLevelType w:val="hybridMultilevel"/>
    <w:tmpl w:val="AD366E7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B127E9"/>
    <w:multiLevelType w:val="hybridMultilevel"/>
    <w:tmpl w:val="A752A28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1"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32"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6BF61608"/>
    <w:multiLevelType w:val="hybridMultilevel"/>
    <w:tmpl w:val="E770642A"/>
    <w:lvl w:ilvl="0" w:tplc="31B2CFFC">
      <w:start w:val="1"/>
      <w:numFmt w:val="bullet"/>
      <w:lvlText w:val=""/>
      <w:lvlJc w:val="left"/>
      <w:pPr>
        <w:tabs>
          <w:tab w:val="num" w:pos="720"/>
        </w:tabs>
        <w:ind w:left="720" w:hanging="360"/>
      </w:pPr>
      <w:rPr>
        <w:rFonts w:ascii="Wingdings" w:hAnsi="Wingdings" w:hint="default"/>
      </w:rPr>
    </w:lvl>
    <w:lvl w:ilvl="1" w:tplc="942A8ABE">
      <w:start w:val="91"/>
      <w:numFmt w:val="bullet"/>
      <w:lvlText w:val=""/>
      <w:lvlJc w:val="left"/>
      <w:pPr>
        <w:tabs>
          <w:tab w:val="num" w:pos="1440"/>
        </w:tabs>
        <w:ind w:left="1440" w:hanging="360"/>
      </w:pPr>
      <w:rPr>
        <w:rFonts w:ascii="Wingdings" w:hAnsi="Wingdings" w:hint="default"/>
      </w:rPr>
    </w:lvl>
    <w:lvl w:ilvl="2" w:tplc="39C49C58">
      <w:start w:val="91"/>
      <w:numFmt w:val="bullet"/>
      <w:lvlText w:val=""/>
      <w:lvlJc w:val="left"/>
      <w:pPr>
        <w:tabs>
          <w:tab w:val="num" w:pos="2160"/>
        </w:tabs>
        <w:ind w:left="2160" w:hanging="360"/>
      </w:pPr>
      <w:rPr>
        <w:rFonts w:ascii="Wingdings" w:hAnsi="Wingdings" w:hint="default"/>
      </w:rPr>
    </w:lvl>
    <w:lvl w:ilvl="3" w:tplc="74BA7A3E" w:tentative="1">
      <w:start w:val="1"/>
      <w:numFmt w:val="bullet"/>
      <w:lvlText w:val=""/>
      <w:lvlJc w:val="left"/>
      <w:pPr>
        <w:tabs>
          <w:tab w:val="num" w:pos="2880"/>
        </w:tabs>
        <w:ind w:left="2880" w:hanging="360"/>
      </w:pPr>
      <w:rPr>
        <w:rFonts w:ascii="Wingdings" w:hAnsi="Wingdings" w:hint="default"/>
      </w:rPr>
    </w:lvl>
    <w:lvl w:ilvl="4" w:tplc="FC281CDE" w:tentative="1">
      <w:start w:val="1"/>
      <w:numFmt w:val="bullet"/>
      <w:lvlText w:val=""/>
      <w:lvlJc w:val="left"/>
      <w:pPr>
        <w:tabs>
          <w:tab w:val="num" w:pos="3600"/>
        </w:tabs>
        <w:ind w:left="3600" w:hanging="360"/>
      </w:pPr>
      <w:rPr>
        <w:rFonts w:ascii="Wingdings" w:hAnsi="Wingdings" w:hint="default"/>
      </w:rPr>
    </w:lvl>
    <w:lvl w:ilvl="5" w:tplc="B204BD62" w:tentative="1">
      <w:start w:val="1"/>
      <w:numFmt w:val="bullet"/>
      <w:lvlText w:val=""/>
      <w:lvlJc w:val="left"/>
      <w:pPr>
        <w:tabs>
          <w:tab w:val="num" w:pos="4320"/>
        </w:tabs>
        <w:ind w:left="4320" w:hanging="360"/>
      </w:pPr>
      <w:rPr>
        <w:rFonts w:ascii="Wingdings" w:hAnsi="Wingdings" w:hint="default"/>
      </w:rPr>
    </w:lvl>
    <w:lvl w:ilvl="6" w:tplc="114030CE" w:tentative="1">
      <w:start w:val="1"/>
      <w:numFmt w:val="bullet"/>
      <w:lvlText w:val=""/>
      <w:lvlJc w:val="left"/>
      <w:pPr>
        <w:tabs>
          <w:tab w:val="num" w:pos="5040"/>
        </w:tabs>
        <w:ind w:left="5040" w:hanging="360"/>
      </w:pPr>
      <w:rPr>
        <w:rFonts w:ascii="Wingdings" w:hAnsi="Wingdings" w:hint="default"/>
      </w:rPr>
    </w:lvl>
    <w:lvl w:ilvl="7" w:tplc="98962A74" w:tentative="1">
      <w:start w:val="1"/>
      <w:numFmt w:val="bullet"/>
      <w:lvlText w:val=""/>
      <w:lvlJc w:val="left"/>
      <w:pPr>
        <w:tabs>
          <w:tab w:val="num" w:pos="5760"/>
        </w:tabs>
        <w:ind w:left="5760" w:hanging="360"/>
      </w:pPr>
      <w:rPr>
        <w:rFonts w:ascii="Wingdings" w:hAnsi="Wingdings" w:hint="default"/>
      </w:rPr>
    </w:lvl>
    <w:lvl w:ilvl="8" w:tplc="EDA6AEC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5" w15:restartNumberingAfterBreak="0">
    <w:nsid w:val="72C66D8E"/>
    <w:multiLevelType w:val="hybridMultilevel"/>
    <w:tmpl w:val="1478AD22"/>
    <w:lvl w:ilvl="0" w:tplc="C1FC7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7"/>
  </w:num>
  <w:num w:numId="3">
    <w:abstractNumId w:val="27"/>
  </w:num>
  <w:num w:numId="4">
    <w:abstractNumId w:val="27"/>
  </w:num>
  <w:num w:numId="5">
    <w:abstractNumId w:val="27"/>
  </w:num>
  <w:num w:numId="6">
    <w:abstractNumId w:val="27"/>
  </w:num>
  <w:num w:numId="7">
    <w:abstractNumId w:val="27"/>
  </w:num>
  <w:num w:numId="8">
    <w:abstractNumId w:val="27"/>
  </w:num>
  <w:num w:numId="9">
    <w:abstractNumId w:val="38"/>
  </w:num>
  <w:num w:numId="10">
    <w:abstractNumId w:val="5"/>
  </w:num>
  <w:num w:numId="11">
    <w:abstractNumId w:val="10"/>
  </w:num>
  <w:num w:numId="12">
    <w:abstractNumId w:val="7"/>
  </w:num>
  <w:num w:numId="13">
    <w:abstractNumId w:val="15"/>
  </w:num>
  <w:num w:numId="14">
    <w:abstractNumId w:val="29"/>
  </w:num>
  <w:num w:numId="15">
    <w:abstractNumId w:val="21"/>
  </w:num>
  <w:num w:numId="16">
    <w:abstractNumId w:val="11"/>
  </w:num>
  <w:num w:numId="17">
    <w:abstractNumId w:val="27"/>
  </w:num>
  <w:num w:numId="18">
    <w:abstractNumId w:val="27"/>
  </w:num>
  <w:num w:numId="19">
    <w:abstractNumId w:val="25"/>
  </w:num>
  <w:num w:numId="20">
    <w:abstractNumId w:val="26"/>
  </w:num>
  <w:num w:numId="21">
    <w:abstractNumId w:val="3"/>
  </w:num>
  <w:num w:numId="22">
    <w:abstractNumId w:val="27"/>
  </w:num>
  <w:num w:numId="23">
    <w:abstractNumId w:val="30"/>
  </w:num>
  <w:num w:numId="24">
    <w:abstractNumId w:val="34"/>
  </w:num>
  <w:num w:numId="25">
    <w:abstractNumId w:val="23"/>
  </w:num>
  <w:num w:numId="26">
    <w:abstractNumId w:val="28"/>
  </w:num>
  <w:num w:numId="27">
    <w:abstractNumId w:val="1"/>
  </w:num>
  <w:num w:numId="28">
    <w:abstractNumId w:val="13"/>
  </w:num>
  <w:num w:numId="29">
    <w:abstractNumId w:val="20"/>
  </w:num>
  <w:num w:numId="30">
    <w:abstractNumId w:val="19"/>
  </w:num>
  <w:num w:numId="31">
    <w:abstractNumId w:val="2"/>
  </w:num>
  <w:num w:numId="32">
    <w:abstractNumId w:val="27"/>
  </w:num>
  <w:num w:numId="33">
    <w:abstractNumId w:val="6"/>
  </w:num>
  <w:num w:numId="34">
    <w:abstractNumId w:val="24"/>
  </w:num>
  <w:num w:numId="35">
    <w:abstractNumId w:val="18"/>
  </w:num>
  <w:num w:numId="36">
    <w:abstractNumId w:val="33"/>
  </w:num>
  <w:num w:numId="37">
    <w:abstractNumId w:val="9"/>
  </w:num>
  <w:num w:numId="38">
    <w:abstractNumId w:val="14"/>
  </w:num>
  <w:num w:numId="39">
    <w:abstractNumId w:val="12"/>
  </w:num>
  <w:num w:numId="40">
    <w:abstractNumId w:val="4"/>
  </w:num>
  <w:num w:numId="41">
    <w:abstractNumId w:val="32"/>
  </w:num>
  <w:num w:numId="42">
    <w:abstractNumId w:val="8"/>
  </w:num>
  <w:num w:numId="43">
    <w:abstractNumId w:val="31"/>
  </w:num>
  <w:num w:numId="44">
    <w:abstractNumId w:val="35"/>
  </w:num>
  <w:num w:numId="45">
    <w:abstractNumId w:val="16"/>
  </w:num>
  <w:num w:numId="46">
    <w:abstractNumId w:val="17"/>
  </w:num>
  <w:num w:numId="47">
    <w:abstractNumId w:val="36"/>
  </w:num>
  <w:num w:numId="48">
    <w:abstractNumId w:val="37"/>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1BBD"/>
    <w:rsid w:val="000056A5"/>
    <w:rsid w:val="0000777F"/>
    <w:rsid w:val="0001009F"/>
    <w:rsid w:val="00010CF0"/>
    <w:rsid w:val="00011DE0"/>
    <w:rsid w:val="0001556F"/>
    <w:rsid w:val="0001721A"/>
    <w:rsid w:val="00021844"/>
    <w:rsid w:val="00022437"/>
    <w:rsid w:val="00024B63"/>
    <w:rsid w:val="00037006"/>
    <w:rsid w:val="00042C85"/>
    <w:rsid w:val="00043157"/>
    <w:rsid w:val="000433E2"/>
    <w:rsid w:val="000445D7"/>
    <w:rsid w:val="00045ACF"/>
    <w:rsid w:val="00047CC8"/>
    <w:rsid w:val="00050014"/>
    <w:rsid w:val="00050525"/>
    <w:rsid w:val="0005489F"/>
    <w:rsid w:val="00055B2E"/>
    <w:rsid w:val="0006312E"/>
    <w:rsid w:val="00063442"/>
    <w:rsid w:val="00064701"/>
    <w:rsid w:val="0006556A"/>
    <w:rsid w:val="00066763"/>
    <w:rsid w:val="0006787D"/>
    <w:rsid w:val="00074199"/>
    <w:rsid w:val="00074913"/>
    <w:rsid w:val="00074D37"/>
    <w:rsid w:val="000776B8"/>
    <w:rsid w:val="000842A3"/>
    <w:rsid w:val="00085159"/>
    <w:rsid w:val="00085867"/>
    <w:rsid w:val="00085F35"/>
    <w:rsid w:val="0008653A"/>
    <w:rsid w:val="00086AE5"/>
    <w:rsid w:val="00091CE8"/>
    <w:rsid w:val="00093473"/>
    <w:rsid w:val="00094AD5"/>
    <w:rsid w:val="000971FC"/>
    <w:rsid w:val="00097364"/>
    <w:rsid w:val="000A0B69"/>
    <w:rsid w:val="000A0B91"/>
    <w:rsid w:val="000A281D"/>
    <w:rsid w:val="000A29BB"/>
    <w:rsid w:val="000A2B60"/>
    <w:rsid w:val="000A37C1"/>
    <w:rsid w:val="000A631A"/>
    <w:rsid w:val="000B00F2"/>
    <w:rsid w:val="000B09E2"/>
    <w:rsid w:val="000B1C1F"/>
    <w:rsid w:val="000B20B5"/>
    <w:rsid w:val="000C1380"/>
    <w:rsid w:val="000C5D2B"/>
    <w:rsid w:val="000C789B"/>
    <w:rsid w:val="000D2845"/>
    <w:rsid w:val="000D387A"/>
    <w:rsid w:val="000D42EB"/>
    <w:rsid w:val="000D4A48"/>
    <w:rsid w:val="000E1340"/>
    <w:rsid w:val="000E168B"/>
    <w:rsid w:val="000E5FAC"/>
    <w:rsid w:val="000E6968"/>
    <w:rsid w:val="000F17AC"/>
    <w:rsid w:val="000F2A07"/>
    <w:rsid w:val="000F3062"/>
    <w:rsid w:val="000F57A3"/>
    <w:rsid w:val="00100719"/>
    <w:rsid w:val="001035E7"/>
    <w:rsid w:val="001073E6"/>
    <w:rsid w:val="001104A3"/>
    <w:rsid w:val="00110A76"/>
    <w:rsid w:val="00111AC4"/>
    <w:rsid w:val="00112286"/>
    <w:rsid w:val="001123F2"/>
    <w:rsid w:val="00113725"/>
    <w:rsid w:val="00121AB9"/>
    <w:rsid w:val="00124E79"/>
    <w:rsid w:val="00127660"/>
    <w:rsid w:val="00127B61"/>
    <w:rsid w:val="00131F94"/>
    <w:rsid w:val="001342FA"/>
    <w:rsid w:val="0013574A"/>
    <w:rsid w:val="001365C0"/>
    <w:rsid w:val="001444C7"/>
    <w:rsid w:val="00145C26"/>
    <w:rsid w:val="001517E8"/>
    <w:rsid w:val="00151D85"/>
    <w:rsid w:val="00152777"/>
    <w:rsid w:val="00153865"/>
    <w:rsid w:val="00155541"/>
    <w:rsid w:val="00161DB0"/>
    <w:rsid w:val="001644AD"/>
    <w:rsid w:val="00170477"/>
    <w:rsid w:val="001713B9"/>
    <w:rsid w:val="001719CB"/>
    <w:rsid w:val="001725D2"/>
    <w:rsid w:val="001730AB"/>
    <w:rsid w:val="00173AEB"/>
    <w:rsid w:val="00174041"/>
    <w:rsid w:val="001778EA"/>
    <w:rsid w:val="001826C2"/>
    <w:rsid w:val="00186A88"/>
    <w:rsid w:val="0019090F"/>
    <w:rsid w:val="00191312"/>
    <w:rsid w:val="001923C7"/>
    <w:rsid w:val="00194083"/>
    <w:rsid w:val="00194442"/>
    <w:rsid w:val="001963C5"/>
    <w:rsid w:val="001A15EC"/>
    <w:rsid w:val="001A1E5A"/>
    <w:rsid w:val="001A3E62"/>
    <w:rsid w:val="001A4871"/>
    <w:rsid w:val="001A6608"/>
    <w:rsid w:val="001B039E"/>
    <w:rsid w:val="001B3910"/>
    <w:rsid w:val="001B3D86"/>
    <w:rsid w:val="001B7D83"/>
    <w:rsid w:val="001C2850"/>
    <w:rsid w:val="001C2B1A"/>
    <w:rsid w:val="001C3D69"/>
    <w:rsid w:val="001C6E22"/>
    <w:rsid w:val="001D1A0E"/>
    <w:rsid w:val="001D62CB"/>
    <w:rsid w:val="001D7B03"/>
    <w:rsid w:val="001E2C50"/>
    <w:rsid w:val="001E6632"/>
    <w:rsid w:val="001E71ED"/>
    <w:rsid w:val="001F18FC"/>
    <w:rsid w:val="001F45C8"/>
    <w:rsid w:val="001F650D"/>
    <w:rsid w:val="001F698E"/>
    <w:rsid w:val="00202179"/>
    <w:rsid w:val="002035B8"/>
    <w:rsid w:val="00203E84"/>
    <w:rsid w:val="00204E27"/>
    <w:rsid w:val="00210281"/>
    <w:rsid w:val="00210C6F"/>
    <w:rsid w:val="00212222"/>
    <w:rsid w:val="00212A57"/>
    <w:rsid w:val="00212FB8"/>
    <w:rsid w:val="00217FC8"/>
    <w:rsid w:val="0022016C"/>
    <w:rsid w:val="00221C54"/>
    <w:rsid w:val="00221E6C"/>
    <w:rsid w:val="00222E4A"/>
    <w:rsid w:val="00225441"/>
    <w:rsid w:val="00226010"/>
    <w:rsid w:val="0022766F"/>
    <w:rsid w:val="00227C0E"/>
    <w:rsid w:val="00230D6B"/>
    <w:rsid w:val="00241DED"/>
    <w:rsid w:val="0024265E"/>
    <w:rsid w:val="00242EF8"/>
    <w:rsid w:val="002449D9"/>
    <w:rsid w:val="00245D49"/>
    <w:rsid w:val="0025211E"/>
    <w:rsid w:val="002521C6"/>
    <w:rsid w:val="00253F1B"/>
    <w:rsid w:val="00255CEB"/>
    <w:rsid w:val="00260DAF"/>
    <w:rsid w:val="00262802"/>
    <w:rsid w:val="00264773"/>
    <w:rsid w:val="00264797"/>
    <w:rsid w:val="002652B3"/>
    <w:rsid w:val="00267FC6"/>
    <w:rsid w:val="00270475"/>
    <w:rsid w:val="00270AF1"/>
    <w:rsid w:val="0027173C"/>
    <w:rsid w:val="00272B87"/>
    <w:rsid w:val="00273483"/>
    <w:rsid w:val="00275493"/>
    <w:rsid w:val="002754D8"/>
    <w:rsid w:val="00277815"/>
    <w:rsid w:val="00280FF0"/>
    <w:rsid w:val="0028271F"/>
    <w:rsid w:val="00282AC5"/>
    <w:rsid w:val="0028604A"/>
    <w:rsid w:val="00293349"/>
    <w:rsid w:val="00293AF1"/>
    <w:rsid w:val="00294657"/>
    <w:rsid w:val="002967B8"/>
    <w:rsid w:val="002A0674"/>
    <w:rsid w:val="002A5635"/>
    <w:rsid w:val="002B0936"/>
    <w:rsid w:val="002B093D"/>
    <w:rsid w:val="002B2887"/>
    <w:rsid w:val="002B352A"/>
    <w:rsid w:val="002B4268"/>
    <w:rsid w:val="002B4310"/>
    <w:rsid w:val="002B6A70"/>
    <w:rsid w:val="002B6F30"/>
    <w:rsid w:val="002C0007"/>
    <w:rsid w:val="002C0BDA"/>
    <w:rsid w:val="002C1281"/>
    <w:rsid w:val="002C60BD"/>
    <w:rsid w:val="002C6DD4"/>
    <w:rsid w:val="002C7EDC"/>
    <w:rsid w:val="002D1082"/>
    <w:rsid w:val="002D2993"/>
    <w:rsid w:val="002D4850"/>
    <w:rsid w:val="002D5FE7"/>
    <w:rsid w:val="002D60D2"/>
    <w:rsid w:val="002E1939"/>
    <w:rsid w:val="002E5520"/>
    <w:rsid w:val="002E5B9B"/>
    <w:rsid w:val="002E60C0"/>
    <w:rsid w:val="002F004B"/>
    <w:rsid w:val="002F290C"/>
    <w:rsid w:val="002F59CF"/>
    <w:rsid w:val="002F5DCF"/>
    <w:rsid w:val="00300383"/>
    <w:rsid w:val="00303DA5"/>
    <w:rsid w:val="00307956"/>
    <w:rsid w:val="00314198"/>
    <w:rsid w:val="003144FF"/>
    <w:rsid w:val="00314740"/>
    <w:rsid w:val="003166F7"/>
    <w:rsid w:val="00316CDB"/>
    <w:rsid w:val="00317E2C"/>
    <w:rsid w:val="003206B0"/>
    <w:rsid w:val="003215D2"/>
    <w:rsid w:val="0032555B"/>
    <w:rsid w:val="00325701"/>
    <w:rsid w:val="00326941"/>
    <w:rsid w:val="00332A82"/>
    <w:rsid w:val="003332A9"/>
    <w:rsid w:val="003333D5"/>
    <w:rsid w:val="0033360E"/>
    <w:rsid w:val="00334A44"/>
    <w:rsid w:val="003370B6"/>
    <w:rsid w:val="00340229"/>
    <w:rsid w:val="00341D98"/>
    <w:rsid w:val="003449A1"/>
    <w:rsid w:val="00345674"/>
    <w:rsid w:val="00346A5B"/>
    <w:rsid w:val="00346F4A"/>
    <w:rsid w:val="00350379"/>
    <w:rsid w:val="003545D6"/>
    <w:rsid w:val="00354717"/>
    <w:rsid w:val="0035481A"/>
    <w:rsid w:val="0035737E"/>
    <w:rsid w:val="00366C4C"/>
    <w:rsid w:val="00367699"/>
    <w:rsid w:val="00367732"/>
    <w:rsid w:val="00367C53"/>
    <w:rsid w:val="00370765"/>
    <w:rsid w:val="00374512"/>
    <w:rsid w:val="00376DD6"/>
    <w:rsid w:val="00377039"/>
    <w:rsid w:val="00381AF0"/>
    <w:rsid w:val="003853BD"/>
    <w:rsid w:val="00390174"/>
    <w:rsid w:val="0039114D"/>
    <w:rsid w:val="00392859"/>
    <w:rsid w:val="00392F04"/>
    <w:rsid w:val="003A028C"/>
    <w:rsid w:val="003A0612"/>
    <w:rsid w:val="003A139E"/>
    <w:rsid w:val="003A576B"/>
    <w:rsid w:val="003A5A52"/>
    <w:rsid w:val="003A782D"/>
    <w:rsid w:val="003B66C8"/>
    <w:rsid w:val="003B71FC"/>
    <w:rsid w:val="003C09D6"/>
    <w:rsid w:val="003C14E2"/>
    <w:rsid w:val="003C22E1"/>
    <w:rsid w:val="003C3009"/>
    <w:rsid w:val="003C3E85"/>
    <w:rsid w:val="003D007C"/>
    <w:rsid w:val="003D71EB"/>
    <w:rsid w:val="003E007A"/>
    <w:rsid w:val="003E574E"/>
    <w:rsid w:val="003E6ABC"/>
    <w:rsid w:val="003F0EDC"/>
    <w:rsid w:val="003F1409"/>
    <w:rsid w:val="003F7C11"/>
    <w:rsid w:val="00403AD2"/>
    <w:rsid w:val="0040441C"/>
    <w:rsid w:val="00406B51"/>
    <w:rsid w:val="00406E21"/>
    <w:rsid w:val="0040756B"/>
    <w:rsid w:val="004102DF"/>
    <w:rsid w:val="00412B98"/>
    <w:rsid w:val="00413BA9"/>
    <w:rsid w:val="0041722A"/>
    <w:rsid w:val="00417B0A"/>
    <w:rsid w:val="00424351"/>
    <w:rsid w:val="00426BF4"/>
    <w:rsid w:val="00430DAA"/>
    <w:rsid w:val="0043205C"/>
    <w:rsid w:val="004322B8"/>
    <w:rsid w:val="00432904"/>
    <w:rsid w:val="00433158"/>
    <w:rsid w:val="00433956"/>
    <w:rsid w:val="00434864"/>
    <w:rsid w:val="004358ED"/>
    <w:rsid w:val="004359A8"/>
    <w:rsid w:val="00441A8F"/>
    <w:rsid w:val="00442F3B"/>
    <w:rsid w:val="0044470B"/>
    <w:rsid w:val="004466FE"/>
    <w:rsid w:val="00453D8A"/>
    <w:rsid w:val="00457C02"/>
    <w:rsid w:val="00457FB3"/>
    <w:rsid w:val="00460C72"/>
    <w:rsid w:val="0046151F"/>
    <w:rsid w:val="004621EF"/>
    <w:rsid w:val="00464E36"/>
    <w:rsid w:val="00464FE2"/>
    <w:rsid w:val="00465081"/>
    <w:rsid w:val="00467A98"/>
    <w:rsid w:val="004739E9"/>
    <w:rsid w:val="0047693A"/>
    <w:rsid w:val="00485890"/>
    <w:rsid w:val="004870C9"/>
    <w:rsid w:val="0049129D"/>
    <w:rsid w:val="0049306D"/>
    <w:rsid w:val="0049451B"/>
    <w:rsid w:val="004954C7"/>
    <w:rsid w:val="00497C27"/>
    <w:rsid w:val="004A48CF"/>
    <w:rsid w:val="004A6E1F"/>
    <w:rsid w:val="004B090A"/>
    <w:rsid w:val="004B1AAC"/>
    <w:rsid w:val="004B43D7"/>
    <w:rsid w:val="004B6FE9"/>
    <w:rsid w:val="004B7BAF"/>
    <w:rsid w:val="004C60F8"/>
    <w:rsid w:val="004C75B6"/>
    <w:rsid w:val="004C787D"/>
    <w:rsid w:val="004C7D70"/>
    <w:rsid w:val="004D2D1F"/>
    <w:rsid w:val="004D47F1"/>
    <w:rsid w:val="004D7509"/>
    <w:rsid w:val="004E12F4"/>
    <w:rsid w:val="004F3649"/>
    <w:rsid w:val="004F65B7"/>
    <w:rsid w:val="00504FDA"/>
    <w:rsid w:val="0051345B"/>
    <w:rsid w:val="00514352"/>
    <w:rsid w:val="00517904"/>
    <w:rsid w:val="00517C97"/>
    <w:rsid w:val="00517FBF"/>
    <w:rsid w:val="005200D1"/>
    <w:rsid w:val="00521EF0"/>
    <w:rsid w:val="00523931"/>
    <w:rsid w:val="00523EBA"/>
    <w:rsid w:val="0052476F"/>
    <w:rsid w:val="005256F0"/>
    <w:rsid w:val="00525FFC"/>
    <w:rsid w:val="00526715"/>
    <w:rsid w:val="00533AE2"/>
    <w:rsid w:val="00533D59"/>
    <w:rsid w:val="005344E6"/>
    <w:rsid w:val="00535B8F"/>
    <w:rsid w:val="00536A52"/>
    <w:rsid w:val="00540EFF"/>
    <w:rsid w:val="00545678"/>
    <w:rsid w:val="005464AB"/>
    <w:rsid w:val="0054669D"/>
    <w:rsid w:val="00546760"/>
    <w:rsid w:val="00546BAC"/>
    <w:rsid w:val="00550749"/>
    <w:rsid w:val="00553A00"/>
    <w:rsid w:val="0055454F"/>
    <w:rsid w:val="0055550E"/>
    <w:rsid w:val="00555B0F"/>
    <w:rsid w:val="00556AAC"/>
    <w:rsid w:val="00563D18"/>
    <w:rsid w:val="0056690F"/>
    <w:rsid w:val="005672C2"/>
    <w:rsid w:val="005719CD"/>
    <w:rsid w:val="00573943"/>
    <w:rsid w:val="005743FC"/>
    <w:rsid w:val="005772E2"/>
    <w:rsid w:val="0058157D"/>
    <w:rsid w:val="00583DFE"/>
    <w:rsid w:val="00585147"/>
    <w:rsid w:val="00590067"/>
    <w:rsid w:val="00590A3D"/>
    <w:rsid w:val="00591662"/>
    <w:rsid w:val="005919D1"/>
    <w:rsid w:val="00591BB1"/>
    <w:rsid w:val="00591BE3"/>
    <w:rsid w:val="00594128"/>
    <w:rsid w:val="00594CFF"/>
    <w:rsid w:val="005975E8"/>
    <w:rsid w:val="00597B6B"/>
    <w:rsid w:val="005A320A"/>
    <w:rsid w:val="005A6527"/>
    <w:rsid w:val="005A756C"/>
    <w:rsid w:val="005B0545"/>
    <w:rsid w:val="005B165D"/>
    <w:rsid w:val="005B2C42"/>
    <w:rsid w:val="005B3703"/>
    <w:rsid w:val="005B4781"/>
    <w:rsid w:val="005B50C2"/>
    <w:rsid w:val="005B7529"/>
    <w:rsid w:val="005C27EB"/>
    <w:rsid w:val="005C425E"/>
    <w:rsid w:val="005C55D7"/>
    <w:rsid w:val="005C56C6"/>
    <w:rsid w:val="005C7773"/>
    <w:rsid w:val="005D34E8"/>
    <w:rsid w:val="005D49E2"/>
    <w:rsid w:val="005D6BBC"/>
    <w:rsid w:val="005E1060"/>
    <w:rsid w:val="005E1B3E"/>
    <w:rsid w:val="005E2991"/>
    <w:rsid w:val="005E77EE"/>
    <w:rsid w:val="005F3D91"/>
    <w:rsid w:val="005F5784"/>
    <w:rsid w:val="005F578A"/>
    <w:rsid w:val="0060259A"/>
    <w:rsid w:val="00603EF6"/>
    <w:rsid w:val="006053A9"/>
    <w:rsid w:val="00607BDF"/>
    <w:rsid w:val="006126CF"/>
    <w:rsid w:val="00614624"/>
    <w:rsid w:val="00617741"/>
    <w:rsid w:val="00617E3F"/>
    <w:rsid w:val="00620844"/>
    <w:rsid w:val="00621B42"/>
    <w:rsid w:val="00623CED"/>
    <w:rsid w:val="00624BF4"/>
    <w:rsid w:val="00625DD5"/>
    <w:rsid w:val="0063194B"/>
    <w:rsid w:val="00632336"/>
    <w:rsid w:val="0063246D"/>
    <w:rsid w:val="006324B1"/>
    <w:rsid w:val="00633B37"/>
    <w:rsid w:val="00633F8F"/>
    <w:rsid w:val="00634CBF"/>
    <w:rsid w:val="00641A09"/>
    <w:rsid w:val="00646634"/>
    <w:rsid w:val="0065138E"/>
    <w:rsid w:val="006516B8"/>
    <w:rsid w:val="00652689"/>
    <w:rsid w:val="00653453"/>
    <w:rsid w:val="00660109"/>
    <w:rsid w:val="00660F4E"/>
    <w:rsid w:val="00660F83"/>
    <w:rsid w:val="00661528"/>
    <w:rsid w:val="006624C2"/>
    <w:rsid w:val="0066782D"/>
    <w:rsid w:val="006725E6"/>
    <w:rsid w:val="00675D39"/>
    <w:rsid w:val="00675FE1"/>
    <w:rsid w:val="00681E80"/>
    <w:rsid w:val="0068542E"/>
    <w:rsid w:val="006863A3"/>
    <w:rsid w:val="0068748D"/>
    <w:rsid w:val="00691735"/>
    <w:rsid w:val="0069399C"/>
    <w:rsid w:val="00693A91"/>
    <w:rsid w:val="006A1C05"/>
    <w:rsid w:val="006A34FB"/>
    <w:rsid w:val="006A4367"/>
    <w:rsid w:val="006A4A92"/>
    <w:rsid w:val="006A4D5F"/>
    <w:rsid w:val="006A6137"/>
    <w:rsid w:val="006B23E3"/>
    <w:rsid w:val="006B569F"/>
    <w:rsid w:val="006B5AD5"/>
    <w:rsid w:val="006B7479"/>
    <w:rsid w:val="006B7BA5"/>
    <w:rsid w:val="006C2537"/>
    <w:rsid w:val="006C5182"/>
    <w:rsid w:val="006C7845"/>
    <w:rsid w:val="006C7F97"/>
    <w:rsid w:val="006D134C"/>
    <w:rsid w:val="006D16D2"/>
    <w:rsid w:val="006D3ADD"/>
    <w:rsid w:val="006D4528"/>
    <w:rsid w:val="006D5F9D"/>
    <w:rsid w:val="006D614C"/>
    <w:rsid w:val="006E316D"/>
    <w:rsid w:val="006E4022"/>
    <w:rsid w:val="006E59A3"/>
    <w:rsid w:val="006E7474"/>
    <w:rsid w:val="006F012D"/>
    <w:rsid w:val="006F0F6B"/>
    <w:rsid w:val="006F3B3B"/>
    <w:rsid w:val="006F51CB"/>
    <w:rsid w:val="006F7A9D"/>
    <w:rsid w:val="00701BDA"/>
    <w:rsid w:val="0070298A"/>
    <w:rsid w:val="00705828"/>
    <w:rsid w:val="007113CC"/>
    <w:rsid w:val="007118AA"/>
    <w:rsid w:val="0071229D"/>
    <w:rsid w:val="00715E4B"/>
    <w:rsid w:val="007171B4"/>
    <w:rsid w:val="0072188E"/>
    <w:rsid w:val="0072367F"/>
    <w:rsid w:val="00727096"/>
    <w:rsid w:val="00727560"/>
    <w:rsid w:val="007316F0"/>
    <w:rsid w:val="00732D32"/>
    <w:rsid w:val="0073332B"/>
    <w:rsid w:val="00735AD5"/>
    <w:rsid w:val="00737160"/>
    <w:rsid w:val="007404A1"/>
    <w:rsid w:val="007445A6"/>
    <w:rsid w:val="00747989"/>
    <w:rsid w:val="007537F2"/>
    <w:rsid w:val="00753AE2"/>
    <w:rsid w:val="007558C5"/>
    <w:rsid w:val="00760369"/>
    <w:rsid w:val="00760968"/>
    <w:rsid w:val="00763B26"/>
    <w:rsid w:val="007648E0"/>
    <w:rsid w:val="00764A16"/>
    <w:rsid w:val="00765F35"/>
    <w:rsid w:val="00766E54"/>
    <w:rsid w:val="007710A4"/>
    <w:rsid w:val="00776EDD"/>
    <w:rsid w:val="0077729A"/>
    <w:rsid w:val="00780FBB"/>
    <w:rsid w:val="00783F38"/>
    <w:rsid w:val="00785570"/>
    <w:rsid w:val="00785940"/>
    <w:rsid w:val="00785E01"/>
    <w:rsid w:val="007863D5"/>
    <w:rsid w:val="00787569"/>
    <w:rsid w:val="007875FF"/>
    <w:rsid w:val="00790E67"/>
    <w:rsid w:val="00792E2D"/>
    <w:rsid w:val="007A0564"/>
    <w:rsid w:val="007A0BDF"/>
    <w:rsid w:val="007A18CD"/>
    <w:rsid w:val="007A208D"/>
    <w:rsid w:val="007A5535"/>
    <w:rsid w:val="007A5C00"/>
    <w:rsid w:val="007A5E74"/>
    <w:rsid w:val="007A6AAE"/>
    <w:rsid w:val="007B3388"/>
    <w:rsid w:val="007B428D"/>
    <w:rsid w:val="007B4EC4"/>
    <w:rsid w:val="007B5DA2"/>
    <w:rsid w:val="007C04D5"/>
    <w:rsid w:val="007C5121"/>
    <w:rsid w:val="007C627B"/>
    <w:rsid w:val="007C74EA"/>
    <w:rsid w:val="007C7A96"/>
    <w:rsid w:val="007D0180"/>
    <w:rsid w:val="007D0BB3"/>
    <w:rsid w:val="007D101F"/>
    <w:rsid w:val="007D33E6"/>
    <w:rsid w:val="007D53E0"/>
    <w:rsid w:val="007E20BB"/>
    <w:rsid w:val="007E2A4D"/>
    <w:rsid w:val="007E33FC"/>
    <w:rsid w:val="007E574D"/>
    <w:rsid w:val="007E6688"/>
    <w:rsid w:val="007F20C8"/>
    <w:rsid w:val="007F60A5"/>
    <w:rsid w:val="007F6D42"/>
    <w:rsid w:val="00800BAE"/>
    <w:rsid w:val="0080229D"/>
    <w:rsid w:val="008073BC"/>
    <w:rsid w:val="00811B44"/>
    <w:rsid w:val="00817D41"/>
    <w:rsid w:val="00821D3C"/>
    <w:rsid w:val="00821EEE"/>
    <w:rsid w:val="00822EFA"/>
    <w:rsid w:val="0082341B"/>
    <w:rsid w:val="00827467"/>
    <w:rsid w:val="00840EEB"/>
    <w:rsid w:val="008465D1"/>
    <w:rsid w:val="0085310D"/>
    <w:rsid w:val="00854252"/>
    <w:rsid w:val="00854FAE"/>
    <w:rsid w:val="00855EBF"/>
    <w:rsid w:val="00860C68"/>
    <w:rsid w:val="0086583B"/>
    <w:rsid w:val="0086616D"/>
    <w:rsid w:val="00866389"/>
    <w:rsid w:val="00866617"/>
    <w:rsid w:val="00875406"/>
    <w:rsid w:val="008839C7"/>
    <w:rsid w:val="008A237E"/>
    <w:rsid w:val="008A27D9"/>
    <w:rsid w:val="008A2BEB"/>
    <w:rsid w:val="008A4214"/>
    <w:rsid w:val="008A65BD"/>
    <w:rsid w:val="008B103D"/>
    <w:rsid w:val="008B2CCC"/>
    <w:rsid w:val="008C1A89"/>
    <w:rsid w:val="008C1DBA"/>
    <w:rsid w:val="008C5400"/>
    <w:rsid w:val="008D0581"/>
    <w:rsid w:val="008D2489"/>
    <w:rsid w:val="008E4139"/>
    <w:rsid w:val="008F188B"/>
    <w:rsid w:val="008F603D"/>
    <w:rsid w:val="008F642D"/>
    <w:rsid w:val="008F6C7E"/>
    <w:rsid w:val="00913100"/>
    <w:rsid w:val="009143FC"/>
    <w:rsid w:val="00915E41"/>
    <w:rsid w:val="009176CE"/>
    <w:rsid w:val="00923D36"/>
    <w:rsid w:val="00927A5A"/>
    <w:rsid w:val="009322BD"/>
    <w:rsid w:val="00932645"/>
    <w:rsid w:val="009348D5"/>
    <w:rsid w:val="00936CBC"/>
    <w:rsid w:val="0093743A"/>
    <w:rsid w:val="0094237F"/>
    <w:rsid w:val="00952164"/>
    <w:rsid w:val="00956121"/>
    <w:rsid w:val="00960C1E"/>
    <w:rsid w:val="009637BB"/>
    <w:rsid w:val="00965C8B"/>
    <w:rsid w:val="00965CB6"/>
    <w:rsid w:val="00972331"/>
    <w:rsid w:val="00972AAE"/>
    <w:rsid w:val="009732A1"/>
    <w:rsid w:val="00977478"/>
    <w:rsid w:val="009802CE"/>
    <w:rsid w:val="00984780"/>
    <w:rsid w:val="00985F1A"/>
    <w:rsid w:val="00986121"/>
    <w:rsid w:val="0099040C"/>
    <w:rsid w:val="009926A7"/>
    <w:rsid w:val="00993BBF"/>
    <w:rsid w:val="009944CF"/>
    <w:rsid w:val="0099680E"/>
    <w:rsid w:val="0099719E"/>
    <w:rsid w:val="00997B50"/>
    <w:rsid w:val="009B056C"/>
    <w:rsid w:val="009B356B"/>
    <w:rsid w:val="009B53F9"/>
    <w:rsid w:val="009C15ED"/>
    <w:rsid w:val="009C1E45"/>
    <w:rsid w:val="009C2E98"/>
    <w:rsid w:val="009C5D14"/>
    <w:rsid w:val="009D1151"/>
    <w:rsid w:val="009D2684"/>
    <w:rsid w:val="009D4AB1"/>
    <w:rsid w:val="009D5223"/>
    <w:rsid w:val="009E06DA"/>
    <w:rsid w:val="009E22C0"/>
    <w:rsid w:val="009E51C3"/>
    <w:rsid w:val="009F154D"/>
    <w:rsid w:val="009F4889"/>
    <w:rsid w:val="00A00B0D"/>
    <w:rsid w:val="00A0107E"/>
    <w:rsid w:val="00A01381"/>
    <w:rsid w:val="00A01754"/>
    <w:rsid w:val="00A05B0A"/>
    <w:rsid w:val="00A066F4"/>
    <w:rsid w:val="00A06C5D"/>
    <w:rsid w:val="00A06F12"/>
    <w:rsid w:val="00A07BD6"/>
    <w:rsid w:val="00A14053"/>
    <w:rsid w:val="00A14B7D"/>
    <w:rsid w:val="00A15066"/>
    <w:rsid w:val="00A150E6"/>
    <w:rsid w:val="00A158DF"/>
    <w:rsid w:val="00A227FA"/>
    <w:rsid w:val="00A31208"/>
    <w:rsid w:val="00A339DB"/>
    <w:rsid w:val="00A41886"/>
    <w:rsid w:val="00A424D7"/>
    <w:rsid w:val="00A4475D"/>
    <w:rsid w:val="00A455DE"/>
    <w:rsid w:val="00A4620E"/>
    <w:rsid w:val="00A5032E"/>
    <w:rsid w:val="00A51275"/>
    <w:rsid w:val="00A52787"/>
    <w:rsid w:val="00A54AC2"/>
    <w:rsid w:val="00A54B76"/>
    <w:rsid w:val="00A61BAF"/>
    <w:rsid w:val="00A675EA"/>
    <w:rsid w:val="00A704B0"/>
    <w:rsid w:val="00A7058D"/>
    <w:rsid w:val="00A72638"/>
    <w:rsid w:val="00A729F1"/>
    <w:rsid w:val="00A776EE"/>
    <w:rsid w:val="00A8168C"/>
    <w:rsid w:val="00A87FBE"/>
    <w:rsid w:val="00A90590"/>
    <w:rsid w:val="00A9156A"/>
    <w:rsid w:val="00A93BAB"/>
    <w:rsid w:val="00A96532"/>
    <w:rsid w:val="00AA1AE3"/>
    <w:rsid w:val="00AA4057"/>
    <w:rsid w:val="00AA4791"/>
    <w:rsid w:val="00AA50BD"/>
    <w:rsid w:val="00AA74E5"/>
    <w:rsid w:val="00AB0BE2"/>
    <w:rsid w:val="00AB2BC0"/>
    <w:rsid w:val="00AB2BD1"/>
    <w:rsid w:val="00AB4B7C"/>
    <w:rsid w:val="00AC2CD2"/>
    <w:rsid w:val="00AC3C28"/>
    <w:rsid w:val="00AC4F7C"/>
    <w:rsid w:val="00AC53EF"/>
    <w:rsid w:val="00AC542F"/>
    <w:rsid w:val="00AC6506"/>
    <w:rsid w:val="00AC76C8"/>
    <w:rsid w:val="00AC7956"/>
    <w:rsid w:val="00AD0814"/>
    <w:rsid w:val="00AD58C6"/>
    <w:rsid w:val="00AD6344"/>
    <w:rsid w:val="00AD67A2"/>
    <w:rsid w:val="00AD68F2"/>
    <w:rsid w:val="00AE7F54"/>
    <w:rsid w:val="00AF1C1B"/>
    <w:rsid w:val="00AF2804"/>
    <w:rsid w:val="00AF44F2"/>
    <w:rsid w:val="00B01CF8"/>
    <w:rsid w:val="00B0465C"/>
    <w:rsid w:val="00B049A5"/>
    <w:rsid w:val="00B04FF7"/>
    <w:rsid w:val="00B05854"/>
    <w:rsid w:val="00B07AFC"/>
    <w:rsid w:val="00B110B6"/>
    <w:rsid w:val="00B13054"/>
    <w:rsid w:val="00B142A8"/>
    <w:rsid w:val="00B212C2"/>
    <w:rsid w:val="00B24E67"/>
    <w:rsid w:val="00B264FE"/>
    <w:rsid w:val="00B271EF"/>
    <w:rsid w:val="00B316D2"/>
    <w:rsid w:val="00B32F69"/>
    <w:rsid w:val="00B32FC9"/>
    <w:rsid w:val="00B340A1"/>
    <w:rsid w:val="00B34A7E"/>
    <w:rsid w:val="00B40DDA"/>
    <w:rsid w:val="00B43F47"/>
    <w:rsid w:val="00B50DBF"/>
    <w:rsid w:val="00B51E5B"/>
    <w:rsid w:val="00B53004"/>
    <w:rsid w:val="00B564D7"/>
    <w:rsid w:val="00B569DB"/>
    <w:rsid w:val="00B573E8"/>
    <w:rsid w:val="00B616C0"/>
    <w:rsid w:val="00B71AB1"/>
    <w:rsid w:val="00B76362"/>
    <w:rsid w:val="00B76EAB"/>
    <w:rsid w:val="00B7730F"/>
    <w:rsid w:val="00B8045D"/>
    <w:rsid w:val="00B80EE8"/>
    <w:rsid w:val="00B8434C"/>
    <w:rsid w:val="00B861BA"/>
    <w:rsid w:val="00B87B58"/>
    <w:rsid w:val="00BA1D14"/>
    <w:rsid w:val="00BA3EAF"/>
    <w:rsid w:val="00BA622C"/>
    <w:rsid w:val="00BB0D9E"/>
    <w:rsid w:val="00BB0FBC"/>
    <w:rsid w:val="00BB72D8"/>
    <w:rsid w:val="00BB791A"/>
    <w:rsid w:val="00BC10F2"/>
    <w:rsid w:val="00BC406E"/>
    <w:rsid w:val="00BC56F4"/>
    <w:rsid w:val="00BC7984"/>
    <w:rsid w:val="00BD0D80"/>
    <w:rsid w:val="00BD17CB"/>
    <w:rsid w:val="00BD1ADE"/>
    <w:rsid w:val="00BD2F83"/>
    <w:rsid w:val="00BD41C8"/>
    <w:rsid w:val="00BD663F"/>
    <w:rsid w:val="00BD786E"/>
    <w:rsid w:val="00BE39B3"/>
    <w:rsid w:val="00BE3C14"/>
    <w:rsid w:val="00BE3E37"/>
    <w:rsid w:val="00BF0A99"/>
    <w:rsid w:val="00BF1CB2"/>
    <w:rsid w:val="00BF35B4"/>
    <w:rsid w:val="00BF3B5B"/>
    <w:rsid w:val="00BF64A9"/>
    <w:rsid w:val="00BF6CD0"/>
    <w:rsid w:val="00C02919"/>
    <w:rsid w:val="00C02EF1"/>
    <w:rsid w:val="00C0478A"/>
    <w:rsid w:val="00C04D26"/>
    <w:rsid w:val="00C05186"/>
    <w:rsid w:val="00C066BC"/>
    <w:rsid w:val="00C0718A"/>
    <w:rsid w:val="00C12396"/>
    <w:rsid w:val="00C17D81"/>
    <w:rsid w:val="00C21ACC"/>
    <w:rsid w:val="00C24C65"/>
    <w:rsid w:val="00C31A7F"/>
    <w:rsid w:val="00C33051"/>
    <w:rsid w:val="00C33F38"/>
    <w:rsid w:val="00C34B22"/>
    <w:rsid w:val="00C35171"/>
    <w:rsid w:val="00C4147C"/>
    <w:rsid w:val="00C42EDA"/>
    <w:rsid w:val="00C45D47"/>
    <w:rsid w:val="00C45E48"/>
    <w:rsid w:val="00C46D21"/>
    <w:rsid w:val="00C513CE"/>
    <w:rsid w:val="00C52744"/>
    <w:rsid w:val="00C55444"/>
    <w:rsid w:val="00C64D0E"/>
    <w:rsid w:val="00C6504D"/>
    <w:rsid w:val="00C70964"/>
    <w:rsid w:val="00C70CF7"/>
    <w:rsid w:val="00C70D9D"/>
    <w:rsid w:val="00C73728"/>
    <w:rsid w:val="00C73BC8"/>
    <w:rsid w:val="00C755A8"/>
    <w:rsid w:val="00C76560"/>
    <w:rsid w:val="00C76C2B"/>
    <w:rsid w:val="00C82023"/>
    <w:rsid w:val="00C84688"/>
    <w:rsid w:val="00C91708"/>
    <w:rsid w:val="00C91AAF"/>
    <w:rsid w:val="00C91AF5"/>
    <w:rsid w:val="00C922E0"/>
    <w:rsid w:val="00C9508C"/>
    <w:rsid w:val="00C96D5F"/>
    <w:rsid w:val="00C96EEE"/>
    <w:rsid w:val="00C97622"/>
    <w:rsid w:val="00CA4E03"/>
    <w:rsid w:val="00CA7D7E"/>
    <w:rsid w:val="00CB6445"/>
    <w:rsid w:val="00CB65BE"/>
    <w:rsid w:val="00CC18C2"/>
    <w:rsid w:val="00CC2ACF"/>
    <w:rsid w:val="00CC6EEE"/>
    <w:rsid w:val="00CC75BD"/>
    <w:rsid w:val="00CC7D08"/>
    <w:rsid w:val="00CD4123"/>
    <w:rsid w:val="00CD4298"/>
    <w:rsid w:val="00CE1AE8"/>
    <w:rsid w:val="00CE2FEF"/>
    <w:rsid w:val="00CE3817"/>
    <w:rsid w:val="00CE483C"/>
    <w:rsid w:val="00CE5286"/>
    <w:rsid w:val="00CE6244"/>
    <w:rsid w:val="00CE69ED"/>
    <w:rsid w:val="00CF08A6"/>
    <w:rsid w:val="00CF128C"/>
    <w:rsid w:val="00CF3AA7"/>
    <w:rsid w:val="00CF4167"/>
    <w:rsid w:val="00CF5C80"/>
    <w:rsid w:val="00D02CA4"/>
    <w:rsid w:val="00D04935"/>
    <w:rsid w:val="00D04AF6"/>
    <w:rsid w:val="00D06A7D"/>
    <w:rsid w:val="00D07B62"/>
    <w:rsid w:val="00D1743E"/>
    <w:rsid w:val="00D17D88"/>
    <w:rsid w:val="00D2033E"/>
    <w:rsid w:val="00D222C2"/>
    <w:rsid w:val="00D22D8A"/>
    <w:rsid w:val="00D2322C"/>
    <w:rsid w:val="00D244BB"/>
    <w:rsid w:val="00D24E1F"/>
    <w:rsid w:val="00D258A3"/>
    <w:rsid w:val="00D348A4"/>
    <w:rsid w:val="00D3678E"/>
    <w:rsid w:val="00D37E9A"/>
    <w:rsid w:val="00D42E37"/>
    <w:rsid w:val="00D446CA"/>
    <w:rsid w:val="00D45FAF"/>
    <w:rsid w:val="00D45FC4"/>
    <w:rsid w:val="00D47089"/>
    <w:rsid w:val="00D47197"/>
    <w:rsid w:val="00D51A5D"/>
    <w:rsid w:val="00D530CC"/>
    <w:rsid w:val="00D53206"/>
    <w:rsid w:val="00D5596D"/>
    <w:rsid w:val="00D56F65"/>
    <w:rsid w:val="00D578F6"/>
    <w:rsid w:val="00D61E7F"/>
    <w:rsid w:val="00D66FE8"/>
    <w:rsid w:val="00D7119B"/>
    <w:rsid w:val="00D74528"/>
    <w:rsid w:val="00D74620"/>
    <w:rsid w:val="00D74CCE"/>
    <w:rsid w:val="00D81694"/>
    <w:rsid w:val="00D84389"/>
    <w:rsid w:val="00D84687"/>
    <w:rsid w:val="00D85806"/>
    <w:rsid w:val="00D8630F"/>
    <w:rsid w:val="00D86367"/>
    <w:rsid w:val="00D86D03"/>
    <w:rsid w:val="00D87C30"/>
    <w:rsid w:val="00D90C2A"/>
    <w:rsid w:val="00D93E94"/>
    <w:rsid w:val="00D95BAB"/>
    <w:rsid w:val="00D96C8D"/>
    <w:rsid w:val="00DA32BC"/>
    <w:rsid w:val="00DA3AF4"/>
    <w:rsid w:val="00DA413E"/>
    <w:rsid w:val="00DA595A"/>
    <w:rsid w:val="00DB2219"/>
    <w:rsid w:val="00DB24B6"/>
    <w:rsid w:val="00DB2E00"/>
    <w:rsid w:val="00DB325E"/>
    <w:rsid w:val="00DB543E"/>
    <w:rsid w:val="00DC02AF"/>
    <w:rsid w:val="00DC4CEB"/>
    <w:rsid w:val="00DC4EAC"/>
    <w:rsid w:val="00DC7437"/>
    <w:rsid w:val="00DD0429"/>
    <w:rsid w:val="00DD0E34"/>
    <w:rsid w:val="00DD0F6B"/>
    <w:rsid w:val="00DD4286"/>
    <w:rsid w:val="00DD5C23"/>
    <w:rsid w:val="00DD5D09"/>
    <w:rsid w:val="00DD5D4D"/>
    <w:rsid w:val="00DE070D"/>
    <w:rsid w:val="00DE1256"/>
    <w:rsid w:val="00DE3BA6"/>
    <w:rsid w:val="00DE626D"/>
    <w:rsid w:val="00DE739B"/>
    <w:rsid w:val="00DF0796"/>
    <w:rsid w:val="00DF11DA"/>
    <w:rsid w:val="00DF50D5"/>
    <w:rsid w:val="00DF5155"/>
    <w:rsid w:val="00E0092C"/>
    <w:rsid w:val="00E00E32"/>
    <w:rsid w:val="00E104FF"/>
    <w:rsid w:val="00E25CE7"/>
    <w:rsid w:val="00E269F7"/>
    <w:rsid w:val="00E26E0A"/>
    <w:rsid w:val="00E3378D"/>
    <w:rsid w:val="00E3430C"/>
    <w:rsid w:val="00E36806"/>
    <w:rsid w:val="00E36D98"/>
    <w:rsid w:val="00E3785B"/>
    <w:rsid w:val="00E401A7"/>
    <w:rsid w:val="00E40562"/>
    <w:rsid w:val="00E4263C"/>
    <w:rsid w:val="00E42740"/>
    <w:rsid w:val="00E44A36"/>
    <w:rsid w:val="00E473DC"/>
    <w:rsid w:val="00E504D1"/>
    <w:rsid w:val="00E53919"/>
    <w:rsid w:val="00E5419B"/>
    <w:rsid w:val="00E54699"/>
    <w:rsid w:val="00E56605"/>
    <w:rsid w:val="00E601F0"/>
    <w:rsid w:val="00E6168E"/>
    <w:rsid w:val="00E61876"/>
    <w:rsid w:val="00E6323D"/>
    <w:rsid w:val="00E72B77"/>
    <w:rsid w:val="00E72F7F"/>
    <w:rsid w:val="00E7588E"/>
    <w:rsid w:val="00E76E7B"/>
    <w:rsid w:val="00E77F6A"/>
    <w:rsid w:val="00E8040F"/>
    <w:rsid w:val="00E82C46"/>
    <w:rsid w:val="00E836F7"/>
    <w:rsid w:val="00E84AB1"/>
    <w:rsid w:val="00E90727"/>
    <w:rsid w:val="00E92ADE"/>
    <w:rsid w:val="00E935BE"/>
    <w:rsid w:val="00E97773"/>
    <w:rsid w:val="00EA459B"/>
    <w:rsid w:val="00EA4843"/>
    <w:rsid w:val="00EA4FFB"/>
    <w:rsid w:val="00EA72BD"/>
    <w:rsid w:val="00EB4C02"/>
    <w:rsid w:val="00EC2A2D"/>
    <w:rsid w:val="00EC498B"/>
    <w:rsid w:val="00EC5B03"/>
    <w:rsid w:val="00EC667F"/>
    <w:rsid w:val="00EC7AC3"/>
    <w:rsid w:val="00ED1363"/>
    <w:rsid w:val="00ED2682"/>
    <w:rsid w:val="00ED3E6C"/>
    <w:rsid w:val="00ED43B6"/>
    <w:rsid w:val="00ED4ABE"/>
    <w:rsid w:val="00ED5739"/>
    <w:rsid w:val="00EE121B"/>
    <w:rsid w:val="00EE182B"/>
    <w:rsid w:val="00EE453E"/>
    <w:rsid w:val="00EF0DDC"/>
    <w:rsid w:val="00EF148C"/>
    <w:rsid w:val="00EF543A"/>
    <w:rsid w:val="00EF790F"/>
    <w:rsid w:val="00F0125B"/>
    <w:rsid w:val="00F01425"/>
    <w:rsid w:val="00F018B7"/>
    <w:rsid w:val="00F0251E"/>
    <w:rsid w:val="00F03D2D"/>
    <w:rsid w:val="00F11016"/>
    <w:rsid w:val="00F12DD1"/>
    <w:rsid w:val="00F13282"/>
    <w:rsid w:val="00F14B49"/>
    <w:rsid w:val="00F15C29"/>
    <w:rsid w:val="00F167D7"/>
    <w:rsid w:val="00F227C2"/>
    <w:rsid w:val="00F27641"/>
    <w:rsid w:val="00F344E6"/>
    <w:rsid w:val="00F34814"/>
    <w:rsid w:val="00F36652"/>
    <w:rsid w:val="00F36C75"/>
    <w:rsid w:val="00F3742D"/>
    <w:rsid w:val="00F42DF6"/>
    <w:rsid w:val="00F467F2"/>
    <w:rsid w:val="00F645CD"/>
    <w:rsid w:val="00F76AA0"/>
    <w:rsid w:val="00F76AA2"/>
    <w:rsid w:val="00F8090B"/>
    <w:rsid w:val="00F81C35"/>
    <w:rsid w:val="00F839DD"/>
    <w:rsid w:val="00F87276"/>
    <w:rsid w:val="00F906A6"/>
    <w:rsid w:val="00F909DA"/>
    <w:rsid w:val="00F91B92"/>
    <w:rsid w:val="00F9211E"/>
    <w:rsid w:val="00F9429C"/>
    <w:rsid w:val="00F96166"/>
    <w:rsid w:val="00F964A9"/>
    <w:rsid w:val="00F96DC9"/>
    <w:rsid w:val="00F97B79"/>
    <w:rsid w:val="00F97D3C"/>
    <w:rsid w:val="00FA1D4E"/>
    <w:rsid w:val="00FA3FC2"/>
    <w:rsid w:val="00FA7A82"/>
    <w:rsid w:val="00FB04D4"/>
    <w:rsid w:val="00FB4058"/>
    <w:rsid w:val="00FB4CDE"/>
    <w:rsid w:val="00FB4D74"/>
    <w:rsid w:val="00FB66E7"/>
    <w:rsid w:val="00FB7CC2"/>
    <w:rsid w:val="00FC0EE5"/>
    <w:rsid w:val="00FC115B"/>
    <w:rsid w:val="00FC68B7"/>
    <w:rsid w:val="00FC7567"/>
    <w:rsid w:val="00FC7FD0"/>
    <w:rsid w:val="00FD1CAC"/>
    <w:rsid w:val="00FD2ACE"/>
    <w:rsid w:val="00FD2EEC"/>
    <w:rsid w:val="00FD77DB"/>
    <w:rsid w:val="00FE18D8"/>
    <w:rsid w:val="00FE535E"/>
    <w:rsid w:val="00FE6639"/>
    <w:rsid w:val="00FE6FEF"/>
    <w:rsid w:val="00FF0D60"/>
    <w:rsid w:val="00FF1806"/>
    <w:rsid w:val="00FF2081"/>
    <w:rsid w:val="00FF41D9"/>
    <w:rsid w:val="00FF5AF8"/>
    <w:rsid w:val="00FF6102"/>
    <w:rsid w:val="00FF6B89"/>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B76"/>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2"/>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2"/>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2"/>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2"/>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2"/>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2"/>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2"/>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2"/>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2"/>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numbere,列表段,P,列表段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9"/>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FC7567"/>
    <w:rPr>
      <w:sz w:val="21"/>
      <w:szCs w:val="21"/>
    </w:rPr>
  </w:style>
  <w:style w:type="paragraph" w:styleId="ac">
    <w:name w:val="annotation text"/>
    <w:basedOn w:val="a"/>
    <w:link w:val="ad"/>
    <w:uiPriority w:val="99"/>
    <w:semiHidden/>
    <w:unhideWhenUsed/>
    <w:rsid w:val="00FC7567"/>
    <w:pPr>
      <w:jc w:val="left"/>
    </w:pPr>
  </w:style>
  <w:style w:type="character" w:customStyle="1" w:styleId="ad">
    <w:name w:val="批注文字 字符"/>
    <w:basedOn w:val="a0"/>
    <w:link w:val="ac"/>
    <w:uiPriority w:val="99"/>
    <w:semiHidden/>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 w:type="character" w:styleId="af3">
    <w:name w:val="Strong"/>
    <w:uiPriority w:val="22"/>
    <w:qFormat/>
    <w:rsid w:val="0043205C"/>
    <w:rPr>
      <w:b/>
      <w:bCs/>
    </w:rPr>
  </w:style>
  <w:style w:type="character" w:customStyle="1" w:styleId="apple-converted-space">
    <w:name w:val="apple-converted-space"/>
    <w:qFormat/>
    <w:rsid w:val="0043205C"/>
  </w:style>
  <w:style w:type="paragraph" w:customStyle="1" w:styleId="proposal2">
    <w:name w:val="proposal2"/>
    <w:basedOn w:val="a"/>
    <w:uiPriority w:val="99"/>
    <w:rsid w:val="0043205C"/>
    <w:pPr>
      <w:widowControl/>
      <w:spacing w:before="100" w:beforeAutospacing="1" w:after="100" w:afterAutospacing="1"/>
      <w:jc w:val="left"/>
    </w:pPr>
    <w:rPr>
      <w:rFonts w:ascii="Gulim" w:eastAsia="Gulim" w:hAnsi="Gulim" w:cs="Times New Roman"/>
      <w:kern w:val="0"/>
      <w:sz w:val="24"/>
      <w:szCs w:val="24"/>
      <w:lang w:eastAsia="ko-KR"/>
    </w:rPr>
  </w:style>
  <w:style w:type="character" w:styleId="af4">
    <w:name w:val="Hyperlink"/>
    <w:uiPriority w:val="99"/>
    <w:qFormat/>
    <w:rsid w:val="00634CBF"/>
    <w:rPr>
      <w:color w:val="0000FF"/>
      <w:u w:val="single"/>
    </w:rPr>
  </w:style>
  <w:style w:type="paragraph" w:customStyle="1" w:styleId="Proposal20">
    <w:name w:val="Proposal2"/>
    <w:basedOn w:val="4"/>
    <w:qFormat/>
    <w:rsid w:val="00CE6244"/>
    <w:pPr>
      <w:numPr>
        <w:ilvl w:val="0"/>
        <w:numId w:val="0"/>
      </w:numPr>
      <w:tabs>
        <w:tab w:val="left" w:pos="720"/>
        <w:tab w:val="left" w:pos="864"/>
      </w:tabs>
      <w:suppressAutoHyphens/>
      <w:autoSpaceDE/>
      <w:autoSpaceDN/>
      <w:adjustRightInd/>
      <w:snapToGrid/>
      <w:spacing w:line="259" w:lineRule="auto"/>
      <w:jc w:val="left"/>
    </w:pPr>
    <w:rPr>
      <w:rFonts w:eastAsia="Times New Roman"/>
      <w:bCs w:val="0"/>
      <w:iCs/>
      <w:sz w:val="20"/>
      <w:szCs w:val="26"/>
      <w:u w:val="single"/>
      <w:lang w:val="en-GB" w:eastAsia="ja-JP"/>
    </w:rPr>
  </w:style>
  <w:style w:type="paragraph" w:styleId="af5">
    <w:name w:val="caption"/>
    <w:basedOn w:val="a"/>
    <w:next w:val="a"/>
    <w:uiPriority w:val="35"/>
    <w:unhideWhenUsed/>
    <w:qFormat/>
    <w:rsid w:val="00AB2BC0"/>
    <w:rPr>
      <w:rFonts w:asciiTheme="majorHAnsi" w:eastAsia="黑体" w:hAnsiTheme="majorHAnsi" w:cstheme="majorBidi"/>
      <w:sz w:val="20"/>
      <w:szCs w:val="20"/>
    </w:rPr>
  </w:style>
  <w:style w:type="paragraph" w:customStyle="1" w:styleId="ListParagraph1">
    <w:name w:val="List Paragraph1"/>
    <w:basedOn w:val="a"/>
    <w:qFormat/>
    <w:rsid w:val="005C7773"/>
    <w:pPr>
      <w:widowControl/>
      <w:ind w:left="720"/>
      <w:contextualSpacing/>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889396">
      <w:bodyDiv w:val="1"/>
      <w:marLeft w:val="0"/>
      <w:marRight w:val="0"/>
      <w:marTop w:val="0"/>
      <w:marBottom w:val="0"/>
      <w:divBdr>
        <w:top w:val="none" w:sz="0" w:space="0" w:color="auto"/>
        <w:left w:val="none" w:sz="0" w:space="0" w:color="auto"/>
        <w:bottom w:val="none" w:sz="0" w:space="0" w:color="auto"/>
        <w:right w:val="none" w:sz="0" w:space="0" w:color="auto"/>
      </w:divBdr>
      <w:divsChild>
        <w:div w:id="593518139">
          <w:marLeft w:val="547"/>
          <w:marRight w:val="0"/>
          <w:marTop w:val="0"/>
          <w:marBottom w:val="0"/>
          <w:divBdr>
            <w:top w:val="none" w:sz="0" w:space="0" w:color="auto"/>
            <w:left w:val="none" w:sz="0" w:space="0" w:color="auto"/>
            <w:bottom w:val="none" w:sz="0" w:space="0" w:color="auto"/>
            <w:right w:val="none" w:sz="0" w:space="0" w:color="auto"/>
          </w:divBdr>
        </w:div>
      </w:divsChild>
    </w:div>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 w:id="1370648773">
      <w:bodyDiv w:val="1"/>
      <w:marLeft w:val="0"/>
      <w:marRight w:val="0"/>
      <w:marTop w:val="0"/>
      <w:marBottom w:val="0"/>
      <w:divBdr>
        <w:top w:val="none" w:sz="0" w:space="0" w:color="auto"/>
        <w:left w:val="none" w:sz="0" w:space="0" w:color="auto"/>
        <w:bottom w:val="none" w:sz="0" w:space="0" w:color="auto"/>
        <w:right w:val="none" w:sz="0" w:space="0" w:color="auto"/>
      </w:divBdr>
      <w:divsChild>
        <w:div w:id="928389804">
          <w:marLeft w:val="547"/>
          <w:marRight w:val="0"/>
          <w:marTop w:val="0"/>
          <w:marBottom w:val="0"/>
          <w:divBdr>
            <w:top w:val="none" w:sz="0" w:space="0" w:color="auto"/>
            <w:left w:val="none" w:sz="0" w:space="0" w:color="auto"/>
            <w:bottom w:val="none" w:sz="0" w:space="0" w:color="auto"/>
            <w:right w:val="none" w:sz="0" w:space="0" w:color="auto"/>
          </w:divBdr>
        </w:div>
      </w:divsChild>
    </w:div>
    <w:div w:id="1422946445">
      <w:bodyDiv w:val="1"/>
      <w:marLeft w:val="0"/>
      <w:marRight w:val="0"/>
      <w:marTop w:val="0"/>
      <w:marBottom w:val="0"/>
      <w:divBdr>
        <w:top w:val="none" w:sz="0" w:space="0" w:color="auto"/>
        <w:left w:val="none" w:sz="0" w:space="0" w:color="auto"/>
        <w:bottom w:val="none" w:sz="0" w:space="0" w:color="auto"/>
        <w:right w:val="none" w:sz="0" w:space="0" w:color="auto"/>
      </w:divBdr>
      <w:divsChild>
        <w:div w:id="1635796603">
          <w:marLeft w:val="547"/>
          <w:marRight w:val="0"/>
          <w:marTop w:val="0"/>
          <w:marBottom w:val="0"/>
          <w:divBdr>
            <w:top w:val="none" w:sz="0" w:space="0" w:color="auto"/>
            <w:left w:val="none" w:sz="0" w:space="0" w:color="auto"/>
            <w:bottom w:val="none" w:sz="0" w:space="0" w:color="auto"/>
            <w:right w:val="none" w:sz="0" w:space="0" w:color="auto"/>
          </w:divBdr>
        </w:div>
        <w:div w:id="1136920009">
          <w:marLeft w:val="1166"/>
          <w:marRight w:val="0"/>
          <w:marTop w:val="0"/>
          <w:marBottom w:val="0"/>
          <w:divBdr>
            <w:top w:val="none" w:sz="0" w:space="0" w:color="auto"/>
            <w:left w:val="none" w:sz="0" w:space="0" w:color="auto"/>
            <w:bottom w:val="none" w:sz="0" w:space="0" w:color="auto"/>
            <w:right w:val="none" w:sz="0" w:space="0" w:color="auto"/>
          </w:divBdr>
        </w:div>
        <w:div w:id="287440901">
          <w:marLeft w:val="1800"/>
          <w:marRight w:val="0"/>
          <w:marTop w:val="0"/>
          <w:marBottom w:val="0"/>
          <w:divBdr>
            <w:top w:val="none" w:sz="0" w:space="0" w:color="auto"/>
            <w:left w:val="none" w:sz="0" w:space="0" w:color="auto"/>
            <w:bottom w:val="none" w:sz="0" w:space="0" w:color="auto"/>
            <w:right w:val="none" w:sz="0" w:space="0" w:color="auto"/>
          </w:divBdr>
        </w:div>
        <w:div w:id="2033413268">
          <w:marLeft w:val="1166"/>
          <w:marRight w:val="0"/>
          <w:marTop w:val="0"/>
          <w:marBottom w:val="0"/>
          <w:divBdr>
            <w:top w:val="none" w:sz="0" w:space="0" w:color="auto"/>
            <w:left w:val="none" w:sz="0" w:space="0" w:color="auto"/>
            <w:bottom w:val="none" w:sz="0" w:space="0" w:color="auto"/>
            <w:right w:val="none" w:sz="0" w:space="0" w:color="auto"/>
          </w:divBdr>
        </w:div>
        <w:div w:id="416286787">
          <w:marLeft w:val="1800"/>
          <w:marRight w:val="0"/>
          <w:marTop w:val="0"/>
          <w:marBottom w:val="0"/>
          <w:divBdr>
            <w:top w:val="none" w:sz="0" w:space="0" w:color="auto"/>
            <w:left w:val="none" w:sz="0" w:space="0" w:color="auto"/>
            <w:bottom w:val="none" w:sz="0" w:space="0" w:color="auto"/>
            <w:right w:val="none" w:sz="0" w:space="0" w:color="auto"/>
          </w:divBdr>
        </w:div>
        <w:div w:id="310982612">
          <w:marLeft w:val="547"/>
          <w:marRight w:val="0"/>
          <w:marTop w:val="0"/>
          <w:marBottom w:val="0"/>
          <w:divBdr>
            <w:top w:val="none" w:sz="0" w:space="0" w:color="auto"/>
            <w:left w:val="none" w:sz="0" w:space="0" w:color="auto"/>
            <w:bottom w:val="none" w:sz="0" w:space="0" w:color="auto"/>
            <w:right w:val="none" w:sz="0" w:space="0" w:color="auto"/>
          </w:divBdr>
        </w:div>
        <w:div w:id="1330593884">
          <w:marLeft w:val="1166"/>
          <w:marRight w:val="0"/>
          <w:marTop w:val="0"/>
          <w:marBottom w:val="0"/>
          <w:divBdr>
            <w:top w:val="none" w:sz="0" w:space="0" w:color="auto"/>
            <w:left w:val="none" w:sz="0" w:space="0" w:color="auto"/>
            <w:bottom w:val="none" w:sz="0" w:space="0" w:color="auto"/>
            <w:right w:val="none" w:sz="0" w:space="0" w:color="auto"/>
          </w:divBdr>
        </w:div>
        <w:div w:id="1553956349">
          <w:marLeft w:val="1800"/>
          <w:marRight w:val="0"/>
          <w:marTop w:val="0"/>
          <w:marBottom w:val="0"/>
          <w:divBdr>
            <w:top w:val="none" w:sz="0" w:space="0" w:color="auto"/>
            <w:left w:val="none" w:sz="0" w:space="0" w:color="auto"/>
            <w:bottom w:val="none" w:sz="0" w:space="0" w:color="auto"/>
            <w:right w:val="none" w:sz="0" w:space="0" w:color="auto"/>
          </w:divBdr>
        </w:div>
        <w:div w:id="1786581824">
          <w:marLeft w:val="1800"/>
          <w:marRight w:val="0"/>
          <w:marTop w:val="0"/>
          <w:marBottom w:val="0"/>
          <w:divBdr>
            <w:top w:val="none" w:sz="0" w:space="0" w:color="auto"/>
            <w:left w:val="none" w:sz="0" w:space="0" w:color="auto"/>
            <w:bottom w:val="none" w:sz="0" w:space="0" w:color="auto"/>
            <w:right w:val="none" w:sz="0" w:space="0" w:color="auto"/>
          </w:divBdr>
        </w:div>
        <w:div w:id="429474808">
          <w:marLeft w:val="1800"/>
          <w:marRight w:val="0"/>
          <w:marTop w:val="0"/>
          <w:marBottom w:val="0"/>
          <w:divBdr>
            <w:top w:val="none" w:sz="0" w:space="0" w:color="auto"/>
            <w:left w:val="none" w:sz="0" w:space="0" w:color="auto"/>
            <w:bottom w:val="none" w:sz="0" w:space="0" w:color="auto"/>
            <w:right w:val="none" w:sz="0" w:space="0" w:color="auto"/>
          </w:divBdr>
        </w:div>
        <w:div w:id="289897743">
          <w:marLeft w:val="1166"/>
          <w:marRight w:val="0"/>
          <w:marTop w:val="0"/>
          <w:marBottom w:val="0"/>
          <w:divBdr>
            <w:top w:val="none" w:sz="0" w:space="0" w:color="auto"/>
            <w:left w:val="none" w:sz="0" w:space="0" w:color="auto"/>
            <w:bottom w:val="none" w:sz="0" w:space="0" w:color="auto"/>
            <w:right w:val="none" w:sz="0" w:space="0" w:color="auto"/>
          </w:divBdr>
        </w:div>
        <w:div w:id="323242067">
          <w:marLeft w:val="1800"/>
          <w:marRight w:val="0"/>
          <w:marTop w:val="0"/>
          <w:marBottom w:val="0"/>
          <w:divBdr>
            <w:top w:val="none" w:sz="0" w:space="0" w:color="auto"/>
            <w:left w:val="none" w:sz="0" w:space="0" w:color="auto"/>
            <w:bottom w:val="none" w:sz="0" w:space="0" w:color="auto"/>
            <w:right w:val="none" w:sz="0" w:space="0" w:color="auto"/>
          </w:divBdr>
        </w:div>
        <w:div w:id="229773673">
          <w:marLeft w:val="1800"/>
          <w:marRight w:val="0"/>
          <w:marTop w:val="0"/>
          <w:marBottom w:val="0"/>
          <w:divBdr>
            <w:top w:val="none" w:sz="0" w:space="0" w:color="auto"/>
            <w:left w:val="none" w:sz="0" w:space="0" w:color="auto"/>
            <w:bottom w:val="none" w:sz="0" w:space="0" w:color="auto"/>
            <w:right w:val="none" w:sz="0" w:space="0" w:color="auto"/>
          </w:divBdr>
        </w:div>
        <w:div w:id="733940230">
          <w:marLeft w:val="547"/>
          <w:marRight w:val="0"/>
          <w:marTop w:val="0"/>
          <w:marBottom w:val="0"/>
          <w:divBdr>
            <w:top w:val="none" w:sz="0" w:space="0" w:color="auto"/>
            <w:left w:val="none" w:sz="0" w:space="0" w:color="auto"/>
            <w:bottom w:val="none" w:sz="0" w:space="0" w:color="auto"/>
            <w:right w:val="none" w:sz="0" w:space="0" w:color="auto"/>
          </w:divBdr>
        </w:div>
        <w:div w:id="569921281">
          <w:marLeft w:val="1166"/>
          <w:marRight w:val="0"/>
          <w:marTop w:val="0"/>
          <w:marBottom w:val="0"/>
          <w:divBdr>
            <w:top w:val="none" w:sz="0" w:space="0" w:color="auto"/>
            <w:left w:val="none" w:sz="0" w:space="0" w:color="auto"/>
            <w:bottom w:val="none" w:sz="0" w:space="0" w:color="auto"/>
            <w:right w:val="none" w:sz="0" w:space="0" w:color="auto"/>
          </w:divBdr>
        </w:div>
        <w:div w:id="1379667263">
          <w:marLeft w:val="1800"/>
          <w:marRight w:val="0"/>
          <w:marTop w:val="0"/>
          <w:marBottom w:val="0"/>
          <w:divBdr>
            <w:top w:val="none" w:sz="0" w:space="0" w:color="auto"/>
            <w:left w:val="none" w:sz="0" w:space="0" w:color="auto"/>
            <w:bottom w:val="none" w:sz="0" w:space="0" w:color="auto"/>
            <w:right w:val="none" w:sz="0" w:space="0" w:color="auto"/>
          </w:divBdr>
        </w:div>
        <w:div w:id="971406623">
          <w:marLeft w:val="1166"/>
          <w:marRight w:val="0"/>
          <w:marTop w:val="0"/>
          <w:marBottom w:val="0"/>
          <w:divBdr>
            <w:top w:val="none" w:sz="0" w:space="0" w:color="auto"/>
            <w:left w:val="none" w:sz="0" w:space="0" w:color="auto"/>
            <w:bottom w:val="none" w:sz="0" w:space="0" w:color="auto"/>
            <w:right w:val="none" w:sz="0" w:space="0" w:color="auto"/>
          </w:divBdr>
        </w:div>
        <w:div w:id="411976897">
          <w:marLeft w:val="1800"/>
          <w:marRight w:val="0"/>
          <w:marTop w:val="0"/>
          <w:marBottom w:val="0"/>
          <w:divBdr>
            <w:top w:val="none" w:sz="0" w:space="0" w:color="auto"/>
            <w:left w:val="none" w:sz="0" w:space="0" w:color="auto"/>
            <w:bottom w:val="none" w:sz="0" w:space="0" w:color="auto"/>
            <w:right w:val="none" w:sz="0" w:space="0" w:color="auto"/>
          </w:divBdr>
        </w:div>
        <w:div w:id="119998487">
          <w:marLeft w:val="1800"/>
          <w:marRight w:val="0"/>
          <w:marTop w:val="0"/>
          <w:marBottom w:val="0"/>
          <w:divBdr>
            <w:top w:val="none" w:sz="0" w:space="0" w:color="auto"/>
            <w:left w:val="none" w:sz="0" w:space="0" w:color="auto"/>
            <w:bottom w:val="none" w:sz="0" w:space="0" w:color="auto"/>
            <w:right w:val="none" w:sz="0" w:space="0" w:color="auto"/>
          </w:divBdr>
        </w:div>
      </w:divsChild>
    </w:div>
    <w:div w:id="1607421530">
      <w:bodyDiv w:val="1"/>
      <w:marLeft w:val="0"/>
      <w:marRight w:val="0"/>
      <w:marTop w:val="0"/>
      <w:marBottom w:val="0"/>
      <w:divBdr>
        <w:top w:val="none" w:sz="0" w:space="0" w:color="auto"/>
        <w:left w:val="none" w:sz="0" w:space="0" w:color="auto"/>
        <w:bottom w:val="none" w:sz="0" w:space="0" w:color="auto"/>
        <w:right w:val="none" w:sz="0" w:space="0" w:color="auto"/>
      </w:divBdr>
      <w:divsChild>
        <w:div w:id="86000714">
          <w:marLeft w:val="547"/>
          <w:marRight w:val="0"/>
          <w:marTop w:val="0"/>
          <w:marBottom w:val="0"/>
          <w:divBdr>
            <w:top w:val="none" w:sz="0" w:space="0" w:color="auto"/>
            <w:left w:val="none" w:sz="0" w:space="0" w:color="auto"/>
            <w:bottom w:val="none" w:sz="0" w:space="0" w:color="auto"/>
            <w:right w:val="none" w:sz="0" w:space="0" w:color="auto"/>
          </w:divBdr>
        </w:div>
        <w:div w:id="1411268337">
          <w:marLeft w:val="1166"/>
          <w:marRight w:val="0"/>
          <w:marTop w:val="0"/>
          <w:marBottom w:val="0"/>
          <w:divBdr>
            <w:top w:val="none" w:sz="0" w:space="0" w:color="auto"/>
            <w:left w:val="none" w:sz="0" w:space="0" w:color="auto"/>
            <w:bottom w:val="none" w:sz="0" w:space="0" w:color="auto"/>
            <w:right w:val="none" w:sz="0" w:space="0" w:color="auto"/>
          </w:divBdr>
        </w:div>
        <w:div w:id="1973900567">
          <w:marLeft w:val="1800"/>
          <w:marRight w:val="0"/>
          <w:marTop w:val="0"/>
          <w:marBottom w:val="0"/>
          <w:divBdr>
            <w:top w:val="none" w:sz="0" w:space="0" w:color="auto"/>
            <w:left w:val="none" w:sz="0" w:space="0" w:color="auto"/>
            <w:bottom w:val="none" w:sz="0" w:space="0" w:color="auto"/>
            <w:right w:val="none" w:sz="0" w:space="0" w:color="auto"/>
          </w:divBdr>
        </w:div>
        <w:div w:id="1352798715">
          <w:marLeft w:val="1166"/>
          <w:marRight w:val="0"/>
          <w:marTop w:val="0"/>
          <w:marBottom w:val="0"/>
          <w:divBdr>
            <w:top w:val="none" w:sz="0" w:space="0" w:color="auto"/>
            <w:left w:val="none" w:sz="0" w:space="0" w:color="auto"/>
            <w:bottom w:val="none" w:sz="0" w:space="0" w:color="auto"/>
            <w:right w:val="none" w:sz="0" w:space="0" w:color="auto"/>
          </w:divBdr>
        </w:div>
        <w:div w:id="642927001">
          <w:marLeft w:val="1800"/>
          <w:marRight w:val="0"/>
          <w:marTop w:val="0"/>
          <w:marBottom w:val="0"/>
          <w:divBdr>
            <w:top w:val="none" w:sz="0" w:space="0" w:color="auto"/>
            <w:left w:val="none" w:sz="0" w:space="0" w:color="auto"/>
            <w:bottom w:val="none" w:sz="0" w:space="0" w:color="auto"/>
            <w:right w:val="none" w:sz="0" w:space="0" w:color="auto"/>
          </w:divBdr>
        </w:div>
        <w:div w:id="1348750472">
          <w:marLeft w:val="547"/>
          <w:marRight w:val="0"/>
          <w:marTop w:val="0"/>
          <w:marBottom w:val="0"/>
          <w:divBdr>
            <w:top w:val="none" w:sz="0" w:space="0" w:color="auto"/>
            <w:left w:val="none" w:sz="0" w:space="0" w:color="auto"/>
            <w:bottom w:val="none" w:sz="0" w:space="0" w:color="auto"/>
            <w:right w:val="none" w:sz="0" w:space="0" w:color="auto"/>
          </w:divBdr>
        </w:div>
        <w:div w:id="1706826518">
          <w:marLeft w:val="1166"/>
          <w:marRight w:val="0"/>
          <w:marTop w:val="0"/>
          <w:marBottom w:val="0"/>
          <w:divBdr>
            <w:top w:val="none" w:sz="0" w:space="0" w:color="auto"/>
            <w:left w:val="none" w:sz="0" w:space="0" w:color="auto"/>
            <w:bottom w:val="none" w:sz="0" w:space="0" w:color="auto"/>
            <w:right w:val="none" w:sz="0" w:space="0" w:color="auto"/>
          </w:divBdr>
        </w:div>
        <w:div w:id="476528947">
          <w:marLeft w:val="1800"/>
          <w:marRight w:val="0"/>
          <w:marTop w:val="0"/>
          <w:marBottom w:val="0"/>
          <w:divBdr>
            <w:top w:val="none" w:sz="0" w:space="0" w:color="auto"/>
            <w:left w:val="none" w:sz="0" w:space="0" w:color="auto"/>
            <w:bottom w:val="none" w:sz="0" w:space="0" w:color="auto"/>
            <w:right w:val="none" w:sz="0" w:space="0" w:color="auto"/>
          </w:divBdr>
        </w:div>
        <w:div w:id="1089156147">
          <w:marLeft w:val="1800"/>
          <w:marRight w:val="0"/>
          <w:marTop w:val="0"/>
          <w:marBottom w:val="0"/>
          <w:divBdr>
            <w:top w:val="none" w:sz="0" w:space="0" w:color="auto"/>
            <w:left w:val="none" w:sz="0" w:space="0" w:color="auto"/>
            <w:bottom w:val="none" w:sz="0" w:space="0" w:color="auto"/>
            <w:right w:val="none" w:sz="0" w:space="0" w:color="auto"/>
          </w:divBdr>
        </w:div>
        <w:div w:id="1626305286">
          <w:marLeft w:val="1800"/>
          <w:marRight w:val="0"/>
          <w:marTop w:val="0"/>
          <w:marBottom w:val="0"/>
          <w:divBdr>
            <w:top w:val="none" w:sz="0" w:space="0" w:color="auto"/>
            <w:left w:val="none" w:sz="0" w:space="0" w:color="auto"/>
            <w:bottom w:val="none" w:sz="0" w:space="0" w:color="auto"/>
            <w:right w:val="none" w:sz="0" w:space="0" w:color="auto"/>
          </w:divBdr>
        </w:div>
        <w:div w:id="1999573802">
          <w:marLeft w:val="1166"/>
          <w:marRight w:val="0"/>
          <w:marTop w:val="0"/>
          <w:marBottom w:val="0"/>
          <w:divBdr>
            <w:top w:val="none" w:sz="0" w:space="0" w:color="auto"/>
            <w:left w:val="none" w:sz="0" w:space="0" w:color="auto"/>
            <w:bottom w:val="none" w:sz="0" w:space="0" w:color="auto"/>
            <w:right w:val="none" w:sz="0" w:space="0" w:color="auto"/>
          </w:divBdr>
        </w:div>
        <w:div w:id="498621987">
          <w:marLeft w:val="1800"/>
          <w:marRight w:val="0"/>
          <w:marTop w:val="0"/>
          <w:marBottom w:val="0"/>
          <w:divBdr>
            <w:top w:val="none" w:sz="0" w:space="0" w:color="auto"/>
            <w:left w:val="none" w:sz="0" w:space="0" w:color="auto"/>
            <w:bottom w:val="none" w:sz="0" w:space="0" w:color="auto"/>
            <w:right w:val="none" w:sz="0" w:space="0" w:color="auto"/>
          </w:divBdr>
        </w:div>
        <w:div w:id="1449855568">
          <w:marLeft w:val="1800"/>
          <w:marRight w:val="0"/>
          <w:marTop w:val="0"/>
          <w:marBottom w:val="0"/>
          <w:divBdr>
            <w:top w:val="none" w:sz="0" w:space="0" w:color="auto"/>
            <w:left w:val="none" w:sz="0" w:space="0" w:color="auto"/>
            <w:bottom w:val="none" w:sz="0" w:space="0" w:color="auto"/>
            <w:right w:val="none" w:sz="0" w:space="0" w:color="auto"/>
          </w:divBdr>
        </w:div>
        <w:div w:id="17783185">
          <w:marLeft w:val="547"/>
          <w:marRight w:val="0"/>
          <w:marTop w:val="0"/>
          <w:marBottom w:val="0"/>
          <w:divBdr>
            <w:top w:val="none" w:sz="0" w:space="0" w:color="auto"/>
            <w:left w:val="none" w:sz="0" w:space="0" w:color="auto"/>
            <w:bottom w:val="none" w:sz="0" w:space="0" w:color="auto"/>
            <w:right w:val="none" w:sz="0" w:space="0" w:color="auto"/>
          </w:divBdr>
        </w:div>
        <w:div w:id="1801457418">
          <w:marLeft w:val="1166"/>
          <w:marRight w:val="0"/>
          <w:marTop w:val="0"/>
          <w:marBottom w:val="0"/>
          <w:divBdr>
            <w:top w:val="none" w:sz="0" w:space="0" w:color="auto"/>
            <w:left w:val="none" w:sz="0" w:space="0" w:color="auto"/>
            <w:bottom w:val="none" w:sz="0" w:space="0" w:color="auto"/>
            <w:right w:val="none" w:sz="0" w:space="0" w:color="auto"/>
          </w:divBdr>
        </w:div>
        <w:div w:id="1001006115">
          <w:marLeft w:val="1800"/>
          <w:marRight w:val="0"/>
          <w:marTop w:val="0"/>
          <w:marBottom w:val="0"/>
          <w:divBdr>
            <w:top w:val="none" w:sz="0" w:space="0" w:color="auto"/>
            <w:left w:val="none" w:sz="0" w:space="0" w:color="auto"/>
            <w:bottom w:val="none" w:sz="0" w:space="0" w:color="auto"/>
            <w:right w:val="none" w:sz="0" w:space="0" w:color="auto"/>
          </w:divBdr>
        </w:div>
        <w:div w:id="728767482">
          <w:marLeft w:val="1166"/>
          <w:marRight w:val="0"/>
          <w:marTop w:val="0"/>
          <w:marBottom w:val="0"/>
          <w:divBdr>
            <w:top w:val="none" w:sz="0" w:space="0" w:color="auto"/>
            <w:left w:val="none" w:sz="0" w:space="0" w:color="auto"/>
            <w:bottom w:val="none" w:sz="0" w:space="0" w:color="auto"/>
            <w:right w:val="none" w:sz="0" w:space="0" w:color="auto"/>
          </w:divBdr>
        </w:div>
        <w:div w:id="14609388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40779-175E-454C-B693-9DBC742F1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2151</TotalTime>
  <Pages>5</Pages>
  <Words>1981</Words>
  <Characters>11293</Characters>
  <Application>Microsoft Office Word</Application>
  <DocSecurity>0</DocSecurity>
  <Lines>94</Lines>
  <Paragraphs>26</Paragraphs>
  <ScaleCrop>false</ScaleCrop>
  <Company/>
  <LinksUpToDate>false</LinksUpToDate>
  <CharactersWithSpaces>13248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271</cp:revision>
  <dcterms:created xsi:type="dcterms:W3CDTF">2023-04-07T06:05:00Z</dcterms:created>
  <dcterms:modified xsi:type="dcterms:W3CDTF">2024-02-19T11:21:00Z</dcterms:modified>
</cp:coreProperties>
</file>